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7B9A" w14:textId="3A4D79B4" w:rsidR="00950D9C" w:rsidRDefault="00950D9C" w:rsidP="00950D9C">
      <w:pPr>
        <w:spacing w:before="83"/>
        <w:ind w:left="220" w:right="611"/>
        <w:rPr>
          <w:b/>
          <w:sz w:val="28"/>
        </w:rPr>
      </w:pPr>
      <w:bookmarkStart w:id="0" w:name="Self-care:_Frequently_asked_questions_ab"/>
      <w:bookmarkEnd w:id="0"/>
      <w:r>
        <w:rPr>
          <w:b/>
          <w:color w:val="0000FF"/>
          <w:sz w:val="28"/>
        </w:rPr>
        <w:t xml:space="preserve">Self-care: Frequently asked questions about changes to prescribing of over the counter (OTC) medicines and products in </w:t>
      </w:r>
      <w:proofErr w:type="gramStart"/>
      <w:r>
        <w:rPr>
          <w:b/>
          <w:color w:val="0000FF"/>
          <w:sz w:val="28"/>
        </w:rPr>
        <w:t>South East</w:t>
      </w:r>
      <w:proofErr w:type="gramEnd"/>
      <w:r>
        <w:rPr>
          <w:b/>
          <w:color w:val="0000FF"/>
          <w:sz w:val="28"/>
        </w:rPr>
        <w:t xml:space="preserve"> London</w:t>
      </w:r>
    </w:p>
    <w:p w14:paraId="0DCC9465" w14:textId="77777777" w:rsidR="00950D9C" w:rsidRDefault="00950D9C" w:rsidP="00950D9C">
      <w:pPr>
        <w:pStyle w:val="BodyText"/>
        <w:rPr>
          <w:b/>
          <w:sz w:val="30"/>
        </w:rPr>
      </w:pPr>
    </w:p>
    <w:p w14:paraId="7C65AB2C" w14:textId="0D9831F9" w:rsidR="00950D9C" w:rsidRDefault="007B18C6" w:rsidP="00950D9C">
      <w:pPr>
        <w:pStyle w:val="BodyText"/>
        <w:spacing w:before="253"/>
        <w:ind w:left="220" w:right="263"/>
      </w:pPr>
      <w:r>
        <w:t xml:space="preserve">The NHS </w:t>
      </w:r>
      <w:proofErr w:type="gramStart"/>
      <w:r>
        <w:t>South East</w:t>
      </w:r>
      <w:proofErr w:type="gramEnd"/>
      <w:r>
        <w:t xml:space="preserve"> London Integrated Care </w:t>
      </w:r>
      <w:r w:rsidRPr="00467C8B">
        <w:t>Board (SEL IC</w:t>
      </w:r>
      <w:r w:rsidR="004151C0" w:rsidRPr="00467C8B">
        <w:t>B</w:t>
      </w:r>
      <w:r w:rsidRPr="00467C8B">
        <w:t xml:space="preserve">) is </w:t>
      </w:r>
      <w:r w:rsidR="00950D9C" w:rsidRPr="00467C8B">
        <w:t>committed</w:t>
      </w:r>
      <w:r w:rsidR="00950D9C">
        <w:t xml:space="preserve"> to delivering best value by ensuring that we use our resources well. Therefore</w:t>
      </w:r>
      <w:r w:rsidR="00FA52DA">
        <w:t>,</w:t>
      </w:r>
      <w:r w:rsidR="00950D9C">
        <w:t xml:space="preserve"> to help us to support the cost effective, </w:t>
      </w:r>
      <w:proofErr w:type="gramStart"/>
      <w:r w:rsidR="00950D9C">
        <w:t>evidence based</w:t>
      </w:r>
      <w:proofErr w:type="gramEnd"/>
      <w:r w:rsidR="00950D9C">
        <w:t xml:space="preserve"> use of medicines, </w:t>
      </w:r>
      <w:r>
        <w:t>SEL ICB</w:t>
      </w:r>
      <w:r w:rsidR="00950D9C">
        <w:t xml:space="preserve"> </w:t>
      </w:r>
      <w:r w:rsidR="00950D9C">
        <w:rPr>
          <w:b/>
        </w:rPr>
        <w:t xml:space="preserve">no longer </w:t>
      </w:r>
      <w:r w:rsidR="00950D9C">
        <w:t>support</w:t>
      </w:r>
      <w:r>
        <w:t>s</w:t>
      </w:r>
      <w:r w:rsidR="00950D9C">
        <w:t xml:space="preserve"> the routine </w:t>
      </w:r>
      <w:r w:rsidR="00950D9C" w:rsidRPr="00D642A4">
        <w:rPr>
          <w:color w:val="000000" w:themeColor="text1"/>
        </w:rPr>
        <w:t xml:space="preserve">prescribing of OTC medication and products for minor/self-limiting conditions. </w:t>
      </w:r>
      <w:r w:rsidR="00950D9C">
        <w:t xml:space="preserve">This change was approved nationally after patient and public consultation by NHS England </w:t>
      </w:r>
      <w:r>
        <w:t xml:space="preserve">(NHSE) </w:t>
      </w:r>
      <w:r w:rsidR="00950D9C">
        <w:t>between December 2017 and March 2018.</w:t>
      </w:r>
    </w:p>
    <w:p w14:paraId="6364B7EF" w14:textId="77777777" w:rsidR="00950D9C" w:rsidRDefault="00950D9C" w:rsidP="00950D9C">
      <w:pPr>
        <w:pStyle w:val="BodyText"/>
        <w:ind w:left="220" w:right="344"/>
      </w:pPr>
      <w:r>
        <w:t xml:space="preserve">Healthcare professionals will no longer routinely prescribe medicines or products for </w:t>
      </w:r>
      <w:r w:rsidRPr="00D642A4">
        <w:rPr>
          <w:color w:val="000000" w:themeColor="text1"/>
        </w:rPr>
        <w:t xml:space="preserve">minor/self-limiting conditions such as coughs, colds, dry skin, upset tummies and minor cuts which normally get better </w:t>
      </w:r>
      <w:r>
        <w:t>with time.</w:t>
      </w:r>
    </w:p>
    <w:p w14:paraId="29F13CE5" w14:textId="77777777" w:rsidR="00950D9C" w:rsidRDefault="00950D9C" w:rsidP="00950D9C">
      <w:pPr>
        <w:pStyle w:val="BodyText"/>
      </w:pPr>
    </w:p>
    <w:p w14:paraId="26B9D457" w14:textId="2AF74CB9" w:rsidR="00950D9C" w:rsidRDefault="00950D9C" w:rsidP="00950D9C">
      <w:pPr>
        <w:pStyle w:val="BodyText"/>
        <w:ind w:left="220" w:right="344"/>
      </w:pPr>
      <w:r>
        <w:t xml:space="preserve">This document has been developed to support prescribers in implementing National (NHSE) and local guidance. It addresses frequently asked questions and contains information on commonly prescribed </w:t>
      </w:r>
      <w:r w:rsidR="002E40CC">
        <w:t>over the counter</w:t>
      </w:r>
      <w:r>
        <w:t xml:space="preserve"> </w:t>
      </w:r>
      <w:r w:rsidR="002E40CC">
        <w:t xml:space="preserve">(OTC) </w:t>
      </w:r>
      <w:r>
        <w:t>products.</w:t>
      </w:r>
    </w:p>
    <w:p w14:paraId="4213DB75" w14:textId="77777777" w:rsidR="00950D9C" w:rsidRDefault="00950D9C" w:rsidP="00950D9C">
      <w:pPr>
        <w:pStyle w:val="BodyText"/>
        <w:rPr>
          <w:sz w:val="26"/>
        </w:rPr>
      </w:pPr>
    </w:p>
    <w:p w14:paraId="38A5B063" w14:textId="77777777" w:rsidR="00950D9C" w:rsidRDefault="00950D9C" w:rsidP="00950D9C">
      <w:pPr>
        <w:pStyle w:val="Heading1"/>
        <w:numPr>
          <w:ilvl w:val="0"/>
          <w:numId w:val="3"/>
        </w:numPr>
        <w:tabs>
          <w:tab w:val="left" w:pos="580"/>
        </w:tabs>
        <w:ind w:right="350"/>
      </w:pPr>
      <w:r>
        <w:t>Why has NHS England provided guidance on prescribing on conditions for which over the counter items should not routinely be</w:t>
      </w:r>
      <w:r>
        <w:rPr>
          <w:spacing w:val="-17"/>
        </w:rPr>
        <w:t xml:space="preserve"> </w:t>
      </w:r>
      <w:r>
        <w:t>prescribed?</w:t>
      </w:r>
    </w:p>
    <w:p w14:paraId="476C85BB" w14:textId="77777777" w:rsidR="00950D9C" w:rsidRDefault="00950D9C" w:rsidP="00950D9C">
      <w:pPr>
        <w:pStyle w:val="BodyText"/>
        <w:rPr>
          <w:b/>
        </w:rPr>
      </w:pPr>
    </w:p>
    <w:p w14:paraId="29532084" w14:textId="77777777" w:rsidR="00950D9C" w:rsidRDefault="00950D9C" w:rsidP="00950D9C">
      <w:pPr>
        <w:pStyle w:val="BodyText"/>
        <w:ind w:left="220" w:right="331"/>
      </w:pPr>
      <w:r>
        <w:t xml:space="preserve">In line with the self-care agenda and to reduce national variation, NHSE recently carried out a </w:t>
      </w:r>
      <w:hyperlink r:id="rId12">
        <w:r>
          <w:rPr>
            <w:color w:val="0000FF"/>
            <w:u w:val="single" w:color="0000FF"/>
          </w:rPr>
          <w:t>public consultation</w:t>
        </w:r>
        <w:r>
          <w:rPr>
            <w:color w:val="0000FF"/>
          </w:rPr>
          <w:t xml:space="preserve"> </w:t>
        </w:r>
      </w:hyperlink>
      <w:r>
        <w:t>to help streamline the prescribing of items available OTC. Following consultation NHSE developed guidance and outlined recommendations for where items available OTC should no longer be routinely prescribed.</w:t>
      </w:r>
    </w:p>
    <w:p w14:paraId="751329AA" w14:textId="77777777" w:rsidR="00950D9C" w:rsidRDefault="00950D9C" w:rsidP="00950D9C">
      <w:pPr>
        <w:pStyle w:val="BodyText"/>
      </w:pPr>
    </w:p>
    <w:p w14:paraId="7B32440F" w14:textId="77777777" w:rsidR="00950D9C" w:rsidRDefault="00950D9C" w:rsidP="00950D9C">
      <w:pPr>
        <w:pStyle w:val="BodyText"/>
        <w:spacing w:before="1"/>
        <w:ind w:left="220" w:right="344"/>
      </w:pPr>
      <w:r>
        <w:t>The guidance makes clear that these restrictions do not apply to people with long- term conditions, nor should they be applied to patients who the prescriber considers unable to self-care due to medical, mental health or significant social vulnerability.</w:t>
      </w:r>
    </w:p>
    <w:p w14:paraId="5269E377" w14:textId="09A211D2" w:rsidR="00950D9C" w:rsidRDefault="00950D9C" w:rsidP="00950D9C">
      <w:pPr>
        <w:pStyle w:val="BodyText"/>
        <w:ind w:left="220" w:right="333"/>
      </w:pPr>
      <w:r>
        <w:t xml:space="preserve">The aim of the guidance is to create a consistent, national approach for </w:t>
      </w:r>
      <w:r w:rsidR="00F45AE1">
        <w:t>SEL ICB</w:t>
      </w:r>
      <w:r>
        <w:t xml:space="preserve"> to follow when considering restricting the prescribing of items available OTC. For more information please click </w:t>
      </w:r>
      <w:hyperlink r:id="rId13">
        <w:r>
          <w:rPr>
            <w:color w:val="0000FF"/>
            <w:u w:val="single" w:color="0000FF"/>
          </w:rPr>
          <w:t>here</w:t>
        </w:r>
      </w:hyperlink>
      <w:r>
        <w:t>.</w:t>
      </w:r>
    </w:p>
    <w:p w14:paraId="052133F5" w14:textId="77777777" w:rsidR="00950D9C" w:rsidRDefault="00950D9C" w:rsidP="00950D9C">
      <w:pPr>
        <w:pStyle w:val="BodyText"/>
        <w:spacing w:before="11"/>
        <w:rPr>
          <w:sz w:val="23"/>
        </w:rPr>
      </w:pPr>
    </w:p>
    <w:p w14:paraId="65D30389" w14:textId="2C4AB14D" w:rsidR="00950D9C" w:rsidRDefault="00950D9C" w:rsidP="00950D9C">
      <w:pPr>
        <w:pStyle w:val="Heading1"/>
        <w:numPr>
          <w:ilvl w:val="0"/>
          <w:numId w:val="3"/>
        </w:numPr>
        <w:tabs>
          <w:tab w:val="left" w:pos="580"/>
        </w:tabs>
        <w:spacing w:before="92"/>
        <w:ind w:right="1191"/>
      </w:pPr>
      <w:r>
        <w:t>Do the changes in prescribing of products available to buy over the counter, apply to</w:t>
      </w:r>
      <w:r>
        <w:rPr>
          <w:spacing w:val="-6"/>
        </w:rPr>
        <w:t xml:space="preserve"> </w:t>
      </w:r>
      <w:r>
        <w:t>everyone?</w:t>
      </w:r>
    </w:p>
    <w:p w14:paraId="488098E9" w14:textId="77777777" w:rsidR="004151C0" w:rsidRDefault="004151C0" w:rsidP="004151C0">
      <w:pPr>
        <w:pStyle w:val="Heading1"/>
        <w:tabs>
          <w:tab w:val="left" w:pos="580"/>
        </w:tabs>
        <w:spacing w:before="92"/>
        <w:ind w:right="1191" w:firstLine="0"/>
      </w:pPr>
    </w:p>
    <w:p w14:paraId="6B3B8E30" w14:textId="6C6D9EBA" w:rsidR="00950D9C" w:rsidRDefault="00950D9C" w:rsidP="00950D9C">
      <w:pPr>
        <w:pStyle w:val="BodyText"/>
        <w:ind w:left="219" w:right="302"/>
      </w:pPr>
      <w:r>
        <w:t>This guidance applies to all patients, including those who would be exempt from paying prescription charges (</w:t>
      </w:r>
      <w:proofErr w:type="gramStart"/>
      <w:r>
        <w:t>e.g.</w:t>
      </w:r>
      <w:proofErr w:type="gramEnd"/>
      <w:r>
        <w:t xml:space="preserve"> children and pregnant women) for self-care of a minor/self-limiting condition. General and condition specific exceptions as outlined in the national guidance may apply. This guidance is not applicable to patients being prescribed an OTC product for a </w:t>
      </w:r>
      <w:proofErr w:type="gramStart"/>
      <w:r w:rsidR="00467C8B">
        <w:t>long</w:t>
      </w:r>
      <w:r w:rsidR="00200A99">
        <w:t xml:space="preserve"> </w:t>
      </w:r>
      <w:r w:rsidR="00467C8B">
        <w:t>term</w:t>
      </w:r>
      <w:proofErr w:type="gramEnd"/>
      <w:r>
        <w:t xml:space="preserve"> condition.</w:t>
      </w:r>
    </w:p>
    <w:p w14:paraId="56DAFD10" w14:textId="77777777" w:rsidR="004151C0" w:rsidRDefault="004151C0" w:rsidP="004151C0">
      <w:pPr>
        <w:pStyle w:val="Heading1"/>
        <w:tabs>
          <w:tab w:val="left" w:pos="580"/>
        </w:tabs>
        <w:spacing w:before="82"/>
        <w:ind w:right="481" w:firstLine="0"/>
      </w:pPr>
    </w:p>
    <w:p w14:paraId="4B74E017" w14:textId="77777777" w:rsidR="007C7759" w:rsidRDefault="007C7759" w:rsidP="004151C0">
      <w:pPr>
        <w:pStyle w:val="Heading1"/>
        <w:tabs>
          <w:tab w:val="left" w:pos="580"/>
        </w:tabs>
        <w:spacing w:before="82"/>
        <w:ind w:right="481" w:firstLine="0"/>
      </w:pPr>
    </w:p>
    <w:p w14:paraId="32AE6AF5" w14:textId="77777777" w:rsidR="00E077C5" w:rsidRDefault="00E077C5" w:rsidP="004151C0">
      <w:pPr>
        <w:pStyle w:val="Heading1"/>
        <w:tabs>
          <w:tab w:val="left" w:pos="580"/>
        </w:tabs>
        <w:spacing w:before="82"/>
        <w:ind w:right="481" w:firstLine="0"/>
      </w:pPr>
    </w:p>
    <w:p w14:paraId="06BB43F1" w14:textId="77777777" w:rsidR="00E077C5" w:rsidRDefault="00E077C5" w:rsidP="004151C0">
      <w:pPr>
        <w:pStyle w:val="Heading1"/>
        <w:tabs>
          <w:tab w:val="left" w:pos="580"/>
        </w:tabs>
        <w:spacing w:before="82"/>
        <w:ind w:right="481" w:firstLine="0"/>
      </w:pPr>
    </w:p>
    <w:p w14:paraId="072C8C06" w14:textId="0876F67E" w:rsidR="00950D9C" w:rsidRDefault="00950D9C" w:rsidP="00950D9C">
      <w:pPr>
        <w:pStyle w:val="Heading1"/>
        <w:numPr>
          <w:ilvl w:val="0"/>
          <w:numId w:val="3"/>
        </w:numPr>
        <w:tabs>
          <w:tab w:val="left" w:pos="580"/>
        </w:tabs>
        <w:spacing w:before="82"/>
        <w:ind w:right="481"/>
      </w:pPr>
      <w:r>
        <w:lastRenderedPageBreak/>
        <w:t>How have patients been informed about the local and national changes to prescribing?</w:t>
      </w:r>
    </w:p>
    <w:p w14:paraId="530470C9" w14:textId="77777777" w:rsidR="00950D9C" w:rsidRDefault="00950D9C" w:rsidP="00950D9C">
      <w:pPr>
        <w:pStyle w:val="BodyText"/>
        <w:rPr>
          <w:b/>
        </w:rPr>
      </w:pPr>
    </w:p>
    <w:p w14:paraId="6C67A81B" w14:textId="5265AB26" w:rsidR="00950D9C" w:rsidRDefault="00950D9C" w:rsidP="00950D9C">
      <w:pPr>
        <w:pStyle w:val="BodyText"/>
        <w:ind w:left="220" w:right="211"/>
      </w:pPr>
      <w:r w:rsidRPr="00200A99">
        <w:t>Patients have been informed about the local and national changes to prescribing through their local public communications</w:t>
      </w:r>
      <w:r w:rsidR="00F45AE1" w:rsidRPr="00200A99">
        <w:t xml:space="preserve"> and the</w:t>
      </w:r>
      <w:r w:rsidRPr="00200A99">
        <w:t xml:space="preserve"> </w:t>
      </w:r>
      <w:r w:rsidR="00F45AE1" w:rsidRPr="00200A99">
        <w:t>SEL ICB</w:t>
      </w:r>
      <w:r w:rsidRPr="00200A99">
        <w:t xml:space="preserve"> website. GP practices</w:t>
      </w:r>
      <w:r w:rsidR="00F45AE1" w:rsidRPr="00200A99">
        <w:t xml:space="preserve"> and community</w:t>
      </w:r>
      <w:r w:rsidR="00F45AE1" w:rsidRPr="00467C8B">
        <w:t xml:space="preserve"> </w:t>
      </w:r>
      <w:r w:rsidR="00F45AE1" w:rsidRPr="0084717A">
        <w:t xml:space="preserve">pharmacies within </w:t>
      </w:r>
      <w:r w:rsidR="001139E9" w:rsidRPr="0084717A">
        <w:t>SEL</w:t>
      </w:r>
      <w:r w:rsidRPr="0084717A">
        <w:t xml:space="preserve"> have been provided with posters for display and separate patient-facing leaflets which inform patients about </w:t>
      </w:r>
      <w:r w:rsidR="00BD4867" w:rsidRPr="0084717A">
        <w:t>self-care and</w:t>
      </w:r>
      <w:r w:rsidRPr="0084717A">
        <w:t xml:space="preserve"> OTC medicines and products. </w:t>
      </w:r>
      <w:r w:rsidR="00BD4867" w:rsidRPr="0084717A">
        <w:t>Electronic versions</w:t>
      </w:r>
      <w:r w:rsidR="00DE1951" w:rsidRPr="0084717A">
        <w:t xml:space="preserve"> </w:t>
      </w:r>
      <w:r w:rsidR="00BD4867" w:rsidRPr="0084717A">
        <w:t>of th</w:t>
      </w:r>
      <w:r w:rsidR="00DE1951" w:rsidRPr="0084717A">
        <w:t>e poster and leaflet</w:t>
      </w:r>
      <w:r w:rsidR="00BD4867" w:rsidRPr="0084717A">
        <w:t xml:space="preserve"> are on the </w:t>
      </w:r>
      <w:r w:rsidR="00DE1951" w:rsidRPr="0084717A">
        <w:t xml:space="preserve">NHS </w:t>
      </w:r>
      <w:r w:rsidR="00BD4867" w:rsidRPr="0084717A">
        <w:t>SEL</w:t>
      </w:r>
      <w:r w:rsidR="00DE1951" w:rsidRPr="0084717A">
        <w:t xml:space="preserve"> </w:t>
      </w:r>
      <w:r w:rsidR="00200A99" w:rsidRPr="00200A99">
        <w:t>website</w:t>
      </w:r>
      <w:r w:rsidR="00200A99">
        <w:t>.</w:t>
      </w:r>
    </w:p>
    <w:p w14:paraId="5FA912E3" w14:textId="77777777" w:rsidR="00950D9C" w:rsidRDefault="00950D9C" w:rsidP="00950D9C">
      <w:pPr>
        <w:pStyle w:val="BodyText"/>
        <w:rPr>
          <w:sz w:val="26"/>
        </w:rPr>
      </w:pPr>
    </w:p>
    <w:p w14:paraId="74466AB3" w14:textId="77777777" w:rsidR="00950D9C" w:rsidRDefault="00950D9C" w:rsidP="00950D9C">
      <w:pPr>
        <w:pStyle w:val="BodyText"/>
        <w:rPr>
          <w:sz w:val="22"/>
        </w:rPr>
      </w:pPr>
    </w:p>
    <w:p w14:paraId="4C7845DE" w14:textId="77777777" w:rsidR="00950D9C" w:rsidRDefault="00950D9C" w:rsidP="00950D9C">
      <w:pPr>
        <w:pStyle w:val="Heading1"/>
        <w:numPr>
          <w:ilvl w:val="0"/>
          <w:numId w:val="3"/>
        </w:numPr>
        <w:tabs>
          <w:tab w:val="left" w:pos="580"/>
        </w:tabs>
        <w:ind w:right="427"/>
      </w:pPr>
      <w:r>
        <w:t>What if a patient cannot afford to buy an OTC product that they previously obtained on an NHS prescription for a minor/self-limiting</w:t>
      </w:r>
      <w:r>
        <w:rPr>
          <w:spacing w:val="-17"/>
        </w:rPr>
        <w:t xml:space="preserve"> </w:t>
      </w:r>
      <w:r>
        <w:t>condition?</w:t>
      </w:r>
    </w:p>
    <w:p w14:paraId="3D1D44C5" w14:textId="77777777" w:rsidR="00950D9C" w:rsidRDefault="00950D9C" w:rsidP="00950D9C">
      <w:pPr>
        <w:pStyle w:val="BodyText"/>
        <w:rPr>
          <w:b/>
        </w:rPr>
      </w:pPr>
    </w:p>
    <w:p w14:paraId="26E3FB5B" w14:textId="64C8A1CF" w:rsidR="00950D9C" w:rsidRDefault="00950D9C" w:rsidP="00950D9C">
      <w:pPr>
        <w:pStyle w:val="BodyText"/>
        <w:ind w:left="220" w:right="278"/>
      </w:pPr>
      <w:r>
        <w:t xml:space="preserve">Many minor illnesses are self-limiting and do not require medical advice or treatment as they will clear up on their own and/or are conditions that are suitable for self-care and treatment with items that can easily be purchased OTC from a pharmacy. In the case of vitamins, </w:t>
      </w:r>
      <w:proofErr w:type="gramStart"/>
      <w:r>
        <w:t>minerals</w:t>
      </w:r>
      <w:proofErr w:type="gramEnd"/>
      <w:r>
        <w:t xml:space="preserve"> and probiotics, these are classified as items of limited clinical effectiveness, where there is a lack of robust evidence for clinical effectiveness.</w:t>
      </w:r>
    </w:p>
    <w:p w14:paraId="132E97F8" w14:textId="77777777" w:rsidR="00950D9C" w:rsidRDefault="00950D9C" w:rsidP="00950D9C">
      <w:pPr>
        <w:pStyle w:val="BodyText"/>
      </w:pPr>
    </w:p>
    <w:p w14:paraId="7D88CAA0" w14:textId="77777777" w:rsidR="00950D9C" w:rsidRDefault="00950D9C" w:rsidP="00950D9C">
      <w:pPr>
        <w:pStyle w:val="BodyText"/>
        <w:ind w:left="220" w:right="248"/>
        <w:jc w:val="both"/>
      </w:pPr>
      <w:r>
        <w:t xml:space="preserve">Items available OTC for many minor/self-limiting conditions are widely available from high street pharmacies, </w:t>
      </w:r>
      <w:proofErr w:type="gramStart"/>
      <w:r>
        <w:t>supermarkets</w:t>
      </w:r>
      <w:proofErr w:type="gramEnd"/>
      <w:r>
        <w:t xml:space="preserve"> and some discount outlets at a range of prices so people should be encouraged to compare prices.</w:t>
      </w:r>
    </w:p>
    <w:p w14:paraId="03D24B8C" w14:textId="77777777" w:rsidR="00950D9C" w:rsidRDefault="00950D9C" w:rsidP="00950D9C">
      <w:pPr>
        <w:pStyle w:val="BodyText"/>
      </w:pPr>
    </w:p>
    <w:p w14:paraId="5626E5B6" w14:textId="1062A608" w:rsidR="00950D9C" w:rsidRDefault="00950D9C" w:rsidP="00DE1951">
      <w:pPr>
        <w:pStyle w:val="BodyText"/>
        <w:spacing w:before="1"/>
        <w:ind w:left="220" w:right="306"/>
      </w:pPr>
      <w:r>
        <w:t>Healthcare professionals can continue to prescribe items available OTC on the NHS for patients who use them to manage long</w:t>
      </w:r>
      <w:r w:rsidR="00DD4D09">
        <w:t xml:space="preserve"> </w:t>
      </w:r>
      <w:r>
        <w:t xml:space="preserve">term conditions, for example regular pain medicine for osteoarthritis. For the full list of general exceptions and condition specific exceptions, please refer to the </w:t>
      </w:r>
      <w:hyperlink r:id="rId14">
        <w:r>
          <w:rPr>
            <w:color w:val="0000FF"/>
            <w:u w:val="single" w:color="0000FF"/>
          </w:rPr>
          <w:t>national guidance</w:t>
        </w:r>
      </w:hyperlink>
      <w:r>
        <w:t>.</w:t>
      </w:r>
    </w:p>
    <w:p w14:paraId="2D4758D3" w14:textId="77777777" w:rsidR="00950D9C" w:rsidRDefault="00950D9C" w:rsidP="00950D9C">
      <w:pPr>
        <w:pStyle w:val="BodyText"/>
        <w:spacing w:before="11"/>
        <w:rPr>
          <w:sz w:val="15"/>
        </w:rPr>
      </w:pPr>
    </w:p>
    <w:p w14:paraId="25276B19" w14:textId="77777777" w:rsidR="00950D9C" w:rsidRDefault="00950D9C" w:rsidP="00950D9C">
      <w:pPr>
        <w:pStyle w:val="BodyText"/>
        <w:spacing w:before="92"/>
        <w:ind w:left="220" w:right="1159"/>
      </w:pPr>
      <w:r>
        <w:t xml:space="preserve">The new guideline </w:t>
      </w:r>
      <w:r>
        <w:rPr>
          <w:b/>
        </w:rPr>
        <w:t xml:space="preserve">does not </w:t>
      </w:r>
      <w:r>
        <w:t>override a prescriber’s clinical judgement when considering whether it is acceptable to ask a patient to buy their medication.</w:t>
      </w:r>
    </w:p>
    <w:p w14:paraId="6A3C53E8" w14:textId="77777777" w:rsidR="007C7759" w:rsidRDefault="007C7759" w:rsidP="00950D9C">
      <w:pPr>
        <w:pStyle w:val="BodyText"/>
        <w:spacing w:before="92"/>
        <w:ind w:left="220" w:right="1159"/>
      </w:pPr>
    </w:p>
    <w:p w14:paraId="12384F8A" w14:textId="77777777" w:rsidR="00950D9C" w:rsidRDefault="00950D9C" w:rsidP="00950D9C">
      <w:pPr>
        <w:pStyle w:val="Heading1"/>
        <w:numPr>
          <w:ilvl w:val="0"/>
          <w:numId w:val="3"/>
        </w:numPr>
        <w:tabs>
          <w:tab w:val="left" w:pos="580"/>
        </w:tabs>
        <w:spacing w:before="153"/>
        <w:ind w:right="219"/>
      </w:pPr>
      <w:r>
        <w:t xml:space="preserve">Can all patients be signposted to a community pharmacy to buy an </w:t>
      </w:r>
      <w:proofErr w:type="gramStart"/>
      <w:r>
        <w:t>over the counter</w:t>
      </w:r>
      <w:proofErr w:type="gramEnd"/>
      <w:r>
        <w:rPr>
          <w:spacing w:val="-1"/>
        </w:rPr>
        <w:t xml:space="preserve"> </w:t>
      </w:r>
      <w:r>
        <w:t>product?</w:t>
      </w:r>
    </w:p>
    <w:p w14:paraId="155024DF" w14:textId="77777777" w:rsidR="00950D9C" w:rsidRDefault="00950D9C" w:rsidP="00950D9C">
      <w:pPr>
        <w:pStyle w:val="BodyText"/>
        <w:spacing w:before="1"/>
        <w:rPr>
          <w:b/>
          <w:sz w:val="26"/>
        </w:rPr>
      </w:pPr>
    </w:p>
    <w:p w14:paraId="3EA347F0" w14:textId="79548904" w:rsidR="00950D9C" w:rsidRDefault="00950D9C" w:rsidP="00950D9C">
      <w:pPr>
        <w:pStyle w:val="BodyText"/>
        <w:spacing w:before="1"/>
        <w:ind w:left="219" w:right="215"/>
        <w:jc w:val="both"/>
      </w:pPr>
      <w:bookmarkStart w:id="1" w:name="There_will_be_instances_where_it_will_be"/>
      <w:bookmarkEnd w:id="1"/>
      <w:r>
        <w:t xml:space="preserve">There will be instances where it will be </w:t>
      </w:r>
      <w:r w:rsidRPr="00BB40CD">
        <w:rPr>
          <w:bCs/>
        </w:rPr>
        <w:t>necessary</w:t>
      </w:r>
      <w:r>
        <w:rPr>
          <w:b/>
        </w:rPr>
        <w:t xml:space="preserve"> </w:t>
      </w:r>
      <w:r>
        <w:t xml:space="preserve">for the prescriber to provide a prescription to a patient as opposed to signposting the patient to a community pharmacy for the purchase of an OTC medication or product. This may be because the intended use is outside of the </w:t>
      </w:r>
      <w:r w:rsidR="001139E9">
        <w:t>OTC</w:t>
      </w:r>
      <w:r>
        <w:t xml:space="preserve"> items product license.</w:t>
      </w:r>
    </w:p>
    <w:p w14:paraId="190B8A11" w14:textId="77777777" w:rsidR="00950D9C" w:rsidRDefault="00950D9C" w:rsidP="00950D9C">
      <w:pPr>
        <w:pStyle w:val="BodyText"/>
        <w:rPr>
          <w:sz w:val="26"/>
        </w:rPr>
      </w:pPr>
    </w:p>
    <w:p w14:paraId="6ABC6133" w14:textId="77777777" w:rsidR="00950D9C" w:rsidRDefault="00950D9C" w:rsidP="00950D9C">
      <w:pPr>
        <w:pStyle w:val="BodyText"/>
        <w:spacing w:before="1"/>
        <w:ind w:left="220" w:right="218"/>
        <w:jc w:val="both"/>
      </w:pPr>
      <w:bookmarkStart w:id="2" w:name="If_patient_is_being_advised_to_purchase_"/>
      <w:bookmarkEnd w:id="2"/>
      <w:r>
        <w:t xml:space="preserve">If patient is being advised to purchase an item over the counter, check the </w:t>
      </w:r>
      <w:hyperlink r:id="rId15">
        <w:proofErr w:type="spellStart"/>
        <w:r>
          <w:rPr>
            <w:color w:val="0000FF"/>
            <w:u w:val="single" w:color="0000FF"/>
          </w:rPr>
          <w:t>PrescQIPP</w:t>
        </w:r>
        <w:proofErr w:type="spellEnd"/>
        <w:r>
          <w:rPr>
            <w:color w:val="0000FF"/>
            <w:u w:val="single" w:color="0000FF"/>
          </w:rPr>
          <w:t xml:space="preserve"> Over the Counter items – GPs guide to </w:t>
        </w:r>
        <w:proofErr w:type="spellStart"/>
        <w:r>
          <w:rPr>
            <w:color w:val="0000FF"/>
            <w:u w:val="single" w:color="0000FF"/>
          </w:rPr>
          <w:t>self care</w:t>
        </w:r>
        <w:proofErr w:type="spellEnd"/>
      </w:hyperlink>
      <w:r>
        <w:t>. This</w:t>
      </w:r>
      <w:r>
        <w:rPr>
          <w:spacing w:val="39"/>
        </w:rPr>
        <w:t xml:space="preserve"> </w:t>
      </w:r>
      <w:r>
        <w:t xml:space="preserve">document </w:t>
      </w:r>
      <w:proofErr w:type="gramStart"/>
      <w:r>
        <w:t>lists</w:t>
      </w:r>
      <w:proofErr w:type="gramEnd"/>
    </w:p>
    <w:p w14:paraId="57E9D61D" w14:textId="77777777" w:rsidR="00950D9C" w:rsidRDefault="00950D9C" w:rsidP="00950D9C">
      <w:pPr>
        <w:jc w:val="both"/>
        <w:sectPr w:rsidR="00950D9C">
          <w:headerReference w:type="default" r:id="rId16"/>
          <w:footerReference w:type="default" r:id="rId17"/>
          <w:pgSz w:w="11910" w:h="16840"/>
          <w:pgMar w:top="1340" w:right="1220" w:bottom="1380" w:left="1220" w:header="397" w:footer="1198" w:gutter="0"/>
          <w:cols w:space="720"/>
        </w:sectPr>
      </w:pPr>
    </w:p>
    <w:p w14:paraId="40C808A7" w14:textId="77777777" w:rsidR="00950D9C" w:rsidRDefault="00950D9C" w:rsidP="00950D9C">
      <w:pPr>
        <w:pStyle w:val="BodyText"/>
        <w:spacing w:before="82"/>
        <w:ind w:left="220" w:right="263"/>
      </w:pPr>
      <w:r>
        <w:lastRenderedPageBreak/>
        <w:t>common over the counter items and where product license (sale) exclusions would require the prescriber to issue a prescription.</w:t>
      </w:r>
    </w:p>
    <w:p w14:paraId="5500BAA5" w14:textId="0A56DF52" w:rsidR="00950D9C" w:rsidRDefault="00950D9C" w:rsidP="00950D9C">
      <w:pPr>
        <w:pStyle w:val="BodyText"/>
        <w:ind w:left="220" w:right="611"/>
      </w:pPr>
      <w:bookmarkStart w:id="3" w:name="Licensed_indications_can_also_be_checked"/>
      <w:bookmarkEnd w:id="3"/>
      <w:r>
        <w:t xml:space="preserve">Licensed indications can also be checked at </w:t>
      </w:r>
      <w:hyperlink r:id="rId18">
        <w:r>
          <w:t>www.mims.co.uk</w:t>
        </w:r>
      </w:hyperlink>
      <w:r>
        <w:t xml:space="preserve"> (subscription required).</w:t>
      </w:r>
    </w:p>
    <w:p w14:paraId="18052CD4" w14:textId="77777777" w:rsidR="00950D9C" w:rsidRDefault="00950D9C" w:rsidP="00950D9C">
      <w:pPr>
        <w:pStyle w:val="BodyText"/>
        <w:rPr>
          <w:sz w:val="26"/>
        </w:rPr>
      </w:pPr>
    </w:p>
    <w:p w14:paraId="19956F2D" w14:textId="77777777" w:rsidR="00950D9C" w:rsidRDefault="00950D9C" w:rsidP="00950D9C">
      <w:pPr>
        <w:pStyle w:val="BodyText"/>
        <w:spacing w:before="2"/>
        <w:rPr>
          <w:sz w:val="22"/>
        </w:rPr>
      </w:pPr>
    </w:p>
    <w:p w14:paraId="14D6C0A1" w14:textId="77777777" w:rsidR="00950D9C" w:rsidRDefault="00950D9C" w:rsidP="00950D9C">
      <w:pPr>
        <w:pStyle w:val="Heading1"/>
        <w:numPr>
          <w:ilvl w:val="0"/>
          <w:numId w:val="3"/>
        </w:numPr>
        <w:tabs>
          <w:tab w:val="left" w:pos="580"/>
        </w:tabs>
      </w:pPr>
      <w:r>
        <w:t>How does the NHS England guidance apply to people living in care</w:t>
      </w:r>
      <w:r>
        <w:rPr>
          <w:spacing w:val="-23"/>
        </w:rPr>
        <w:t xml:space="preserve"> </w:t>
      </w:r>
      <w:r>
        <w:t>homes?</w:t>
      </w:r>
    </w:p>
    <w:p w14:paraId="0DA8AB92" w14:textId="20E03E6E" w:rsidR="00950D9C" w:rsidRDefault="00950D9C" w:rsidP="00950D9C">
      <w:pPr>
        <w:pStyle w:val="BodyText"/>
        <w:spacing w:before="197"/>
        <w:ind w:left="220" w:right="263"/>
      </w:pPr>
      <w:bookmarkStart w:id="4" w:name="Stopping_prescribing_for_the_conditions_"/>
      <w:bookmarkEnd w:id="4"/>
      <w:r>
        <w:t>Stopping prescribing for the conditions outlined in the guidance should be considered for care home residents on an individual basis. The guidance has identified certain scenarios, general and condition specific exceptions where patients should continue to have their treatments prescribed</w:t>
      </w:r>
      <w:r>
        <w:rPr>
          <w:spacing w:val="-5"/>
        </w:rPr>
        <w:t xml:space="preserve"> </w:t>
      </w:r>
      <w:r w:rsidR="007664B0">
        <w:rPr>
          <w:vertAlign w:val="superscript"/>
        </w:rPr>
        <w:t>1</w:t>
      </w:r>
      <w:r>
        <w:t>.</w:t>
      </w:r>
    </w:p>
    <w:p w14:paraId="1ACAB3AB" w14:textId="285CF569" w:rsidR="00950D9C" w:rsidRDefault="00950D9C" w:rsidP="00950D9C">
      <w:pPr>
        <w:pStyle w:val="BodyText"/>
        <w:spacing w:before="63" w:line="276" w:lineRule="auto"/>
        <w:ind w:left="219" w:right="319"/>
      </w:pPr>
      <w:r>
        <w:t>The National Regional Medicines Optimisation Committee (RMOC) has provided guidance on the use of Homely Remedies in the management of minor conditions in care homes. A homely remedy is a non-prescription medicine that a care home can purchase OTC (</w:t>
      </w:r>
      <w:proofErr w:type="gramStart"/>
      <w:r>
        <w:t>i.e.</w:t>
      </w:r>
      <w:proofErr w:type="gramEnd"/>
      <w:r>
        <w:t xml:space="preserve"> the medicines are owned by the care home) for the use of its residents. Please refer to the </w:t>
      </w:r>
      <w:hyperlink r:id="rId19">
        <w:r>
          <w:rPr>
            <w:color w:val="0000FF"/>
            <w:u w:val="single" w:color="0000FF"/>
          </w:rPr>
          <w:t>RMOC guidance</w:t>
        </w:r>
      </w:hyperlink>
      <w:r w:rsidR="007664B0">
        <w:rPr>
          <w:vertAlign w:val="superscript"/>
        </w:rPr>
        <w:t>2</w:t>
      </w:r>
      <w:r>
        <w:t>.</w:t>
      </w:r>
    </w:p>
    <w:p w14:paraId="6D5B605D" w14:textId="77777777" w:rsidR="00950D9C" w:rsidRDefault="00950D9C" w:rsidP="00950D9C">
      <w:pPr>
        <w:pStyle w:val="BodyText"/>
        <w:spacing w:before="201" w:line="276" w:lineRule="auto"/>
        <w:ind w:left="220" w:right="465"/>
      </w:pPr>
      <w:r>
        <w:t xml:space="preserve">Nationally the NHS England </w:t>
      </w:r>
      <w:hyperlink r:id="rId20">
        <w:r>
          <w:rPr>
            <w:color w:val="0000FF"/>
            <w:u w:val="single" w:color="0000FF"/>
          </w:rPr>
          <w:t>Medicines Optimisation in Care Homes (MOCH)</w:t>
        </w:r>
      </w:hyperlink>
      <w:r>
        <w:rPr>
          <w:color w:val="0000FF"/>
        </w:rPr>
        <w:t xml:space="preserve"> </w:t>
      </w:r>
      <w:hyperlink r:id="rId21">
        <w:proofErr w:type="spellStart"/>
        <w:r>
          <w:rPr>
            <w:color w:val="0000FF"/>
            <w:u w:val="single" w:color="0000FF"/>
          </w:rPr>
          <w:t>programme</w:t>
        </w:r>
        <w:proofErr w:type="spellEnd"/>
        <w:r>
          <w:rPr>
            <w:color w:val="0000FF"/>
          </w:rPr>
          <w:t xml:space="preserve"> </w:t>
        </w:r>
      </w:hyperlink>
      <w:r>
        <w:t>is working closely with care homes and pharmacy teams reduce the variation in implementing the NHSE guidance across all care homes and work with care homes which have policies in place which may prevent their residents buying their own OTC medicines.</w:t>
      </w:r>
    </w:p>
    <w:p w14:paraId="658CC74B" w14:textId="4B38FDAA" w:rsidR="00950D9C" w:rsidRPr="00365806" w:rsidRDefault="00950D9C" w:rsidP="00950D9C">
      <w:pPr>
        <w:pStyle w:val="BodyText"/>
        <w:spacing w:before="196"/>
        <w:ind w:left="220" w:right="505"/>
        <w:rPr>
          <w:color w:val="1903ED"/>
        </w:rPr>
      </w:pPr>
      <w:r>
        <w:t xml:space="preserve">For further information please see the </w:t>
      </w:r>
      <w:hyperlink r:id="rId22" w:anchor="why-has-the-ics-guidance-been-developed" w:history="1">
        <w:r w:rsidRPr="00AC0DFB">
          <w:rPr>
            <w:rStyle w:val="Hyperlink"/>
            <w:color w:val="1903ED"/>
          </w:rPr>
          <w:t>NHS England People living in care homes – frequently asked questions</w:t>
        </w:r>
      </w:hyperlink>
      <w:r w:rsidRPr="00AC0DFB">
        <w:rPr>
          <w:color w:val="1903ED"/>
        </w:rPr>
        <w:t>.</w:t>
      </w:r>
    </w:p>
    <w:p w14:paraId="64C67DA8" w14:textId="77777777" w:rsidR="00950D9C" w:rsidRPr="00365806" w:rsidRDefault="00950D9C" w:rsidP="00950D9C">
      <w:pPr>
        <w:pStyle w:val="BodyText"/>
        <w:rPr>
          <w:color w:val="1903ED"/>
          <w:sz w:val="20"/>
        </w:rPr>
      </w:pPr>
    </w:p>
    <w:p w14:paraId="0DA405EA" w14:textId="77777777" w:rsidR="00950D9C" w:rsidRDefault="00950D9C" w:rsidP="00950D9C">
      <w:pPr>
        <w:pStyle w:val="BodyText"/>
      </w:pPr>
    </w:p>
    <w:p w14:paraId="6883A0A5" w14:textId="77777777" w:rsidR="00950D9C" w:rsidRDefault="00950D9C" w:rsidP="00950D9C">
      <w:pPr>
        <w:pStyle w:val="Heading1"/>
        <w:numPr>
          <w:ilvl w:val="0"/>
          <w:numId w:val="3"/>
        </w:numPr>
        <w:tabs>
          <w:tab w:val="left" w:pos="580"/>
        </w:tabs>
        <w:spacing w:before="92"/>
        <w:ind w:right="371"/>
      </w:pPr>
      <w:r>
        <w:t>Do schools, nurseries or child minders require medicines such as paracetamol and ibuprofen liquid to be labelled before they can administer a medicine?</w:t>
      </w:r>
    </w:p>
    <w:p w14:paraId="1CB6D474" w14:textId="77777777" w:rsidR="00950D9C" w:rsidRDefault="00950D9C" w:rsidP="00950D9C">
      <w:pPr>
        <w:pStyle w:val="BodyText"/>
        <w:rPr>
          <w:b/>
        </w:rPr>
      </w:pPr>
    </w:p>
    <w:p w14:paraId="233DC715" w14:textId="0BD69BF8" w:rsidR="00884E84" w:rsidRPr="008A0CCC" w:rsidRDefault="00884E84" w:rsidP="008A0CCC">
      <w:pPr>
        <w:ind w:left="142"/>
        <w:rPr>
          <w:sz w:val="24"/>
          <w:szCs w:val="24"/>
        </w:rPr>
      </w:pPr>
      <w:r w:rsidRPr="008A0CCC">
        <w:rPr>
          <w:sz w:val="24"/>
          <w:szCs w:val="24"/>
        </w:rPr>
        <w:t xml:space="preserve">GPs are often asked to prescribe </w:t>
      </w:r>
      <w:r w:rsidR="002E40CC">
        <w:rPr>
          <w:sz w:val="24"/>
          <w:szCs w:val="24"/>
        </w:rPr>
        <w:t>over the counter</w:t>
      </w:r>
      <w:r w:rsidRPr="008A0CCC">
        <w:rPr>
          <w:sz w:val="24"/>
          <w:szCs w:val="24"/>
        </w:rPr>
        <w:t xml:space="preserve"> (OTC) medication </w:t>
      </w:r>
      <w:proofErr w:type="gramStart"/>
      <w:r w:rsidRPr="008A0CCC">
        <w:rPr>
          <w:sz w:val="24"/>
          <w:szCs w:val="24"/>
        </w:rPr>
        <w:t>in order for</w:t>
      </w:r>
      <w:proofErr w:type="gramEnd"/>
      <w:r w:rsidRPr="008A0CCC">
        <w:rPr>
          <w:sz w:val="24"/>
          <w:szCs w:val="24"/>
        </w:rPr>
        <w:t xml:space="preserve"> the school, nursery or childminder to administer a medicine to a child, for example, </w:t>
      </w:r>
      <w:r w:rsidR="00467C8B" w:rsidRPr="008A0CCC">
        <w:rPr>
          <w:sz w:val="24"/>
          <w:szCs w:val="24"/>
        </w:rPr>
        <w:t>hay fever</w:t>
      </w:r>
      <w:r w:rsidRPr="008A0CCC">
        <w:rPr>
          <w:sz w:val="24"/>
          <w:szCs w:val="24"/>
        </w:rPr>
        <w:t xml:space="preserve"> medicines, chloramphenicol eye drops for</w:t>
      </w:r>
      <w:r w:rsidR="00BB5F7C">
        <w:rPr>
          <w:sz w:val="24"/>
          <w:szCs w:val="24"/>
        </w:rPr>
        <w:t xml:space="preserve"> children</w:t>
      </w:r>
      <w:r w:rsidRPr="008A0CCC">
        <w:rPr>
          <w:sz w:val="24"/>
          <w:szCs w:val="24"/>
        </w:rPr>
        <w:t xml:space="preserve"> over 2 years of age for conjunctivitis etc.  The Medicines &amp; Healthcare products Regulatory Agency (MHRA) who issues licenses to all medicines classifies non-prescription medicines as OTC because they are considered safe and appropriate to be used without a prescription when they are recommended by your pharmacy.  Therefore, provided parental consent and clear instruction are in place, a GP’s signature or </w:t>
      </w:r>
      <w:proofErr w:type="spellStart"/>
      <w:r w:rsidRPr="008A0CCC">
        <w:rPr>
          <w:sz w:val="24"/>
          <w:szCs w:val="24"/>
        </w:rPr>
        <w:t>authorisation</w:t>
      </w:r>
      <w:proofErr w:type="spellEnd"/>
      <w:r w:rsidRPr="008A0CCC">
        <w:rPr>
          <w:sz w:val="24"/>
          <w:szCs w:val="24"/>
        </w:rPr>
        <w:t xml:space="preserve"> is not required for school, </w:t>
      </w:r>
      <w:proofErr w:type="gramStart"/>
      <w:r w:rsidRPr="008A0CCC">
        <w:rPr>
          <w:sz w:val="24"/>
          <w:szCs w:val="24"/>
        </w:rPr>
        <w:t>nursery</w:t>
      </w:r>
      <w:proofErr w:type="gramEnd"/>
      <w:r w:rsidRPr="008A0CCC">
        <w:rPr>
          <w:sz w:val="24"/>
          <w:szCs w:val="24"/>
        </w:rPr>
        <w:t xml:space="preserve"> or childminder before administering such medicines to a child.</w:t>
      </w:r>
    </w:p>
    <w:p w14:paraId="140B248F" w14:textId="77777777" w:rsidR="00884E84" w:rsidRPr="008A0CCC" w:rsidRDefault="00884E84" w:rsidP="008A0CCC">
      <w:pPr>
        <w:ind w:left="580"/>
        <w:rPr>
          <w:sz w:val="24"/>
          <w:szCs w:val="24"/>
        </w:rPr>
      </w:pPr>
    </w:p>
    <w:p w14:paraId="0A8630B5" w14:textId="77777777" w:rsidR="00884E84" w:rsidRPr="008A0CCC" w:rsidRDefault="00884E84" w:rsidP="008A0CCC">
      <w:pPr>
        <w:ind w:left="142"/>
        <w:rPr>
          <w:sz w:val="24"/>
          <w:szCs w:val="24"/>
        </w:rPr>
      </w:pPr>
      <w:r w:rsidRPr="008A0CCC">
        <w:rPr>
          <w:sz w:val="24"/>
          <w:szCs w:val="24"/>
        </w:rPr>
        <w:t xml:space="preserve">It is a misuse of GP time to provide an appointment for a child with the sole purpose of acquiring a prescription for an OTC medicine, to satisfy the ruling of a nursery or school.  </w:t>
      </w:r>
    </w:p>
    <w:p w14:paraId="5907506A" w14:textId="77777777" w:rsidR="00884E84" w:rsidRPr="008A0CCC" w:rsidRDefault="00884E84" w:rsidP="008A0CCC">
      <w:pPr>
        <w:ind w:left="580"/>
        <w:rPr>
          <w:sz w:val="24"/>
          <w:szCs w:val="24"/>
        </w:rPr>
      </w:pPr>
    </w:p>
    <w:p w14:paraId="08A4E959" w14:textId="037EF481" w:rsidR="00884E84" w:rsidRPr="008A0CCC" w:rsidRDefault="00D17A54" w:rsidP="008A0CCC">
      <w:pPr>
        <w:ind w:left="142"/>
        <w:rPr>
          <w:sz w:val="24"/>
          <w:szCs w:val="24"/>
        </w:rPr>
      </w:pPr>
      <w:hyperlink r:id="rId23" w:history="1">
        <w:r w:rsidR="00884E84" w:rsidRPr="008F476E">
          <w:rPr>
            <w:rStyle w:val="Hyperlink"/>
            <w:color w:val="1903ED"/>
            <w:sz w:val="24"/>
            <w:szCs w:val="24"/>
          </w:rPr>
          <w:t>The Statutory Framework for the Early Years Foundation Stage</w:t>
        </w:r>
      </w:hyperlink>
      <w:r w:rsidR="00884E84" w:rsidRPr="008F476E">
        <w:rPr>
          <w:color w:val="1903ED"/>
          <w:sz w:val="24"/>
          <w:szCs w:val="24"/>
        </w:rPr>
        <w:t xml:space="preserve"> – </w:t>
      </w:r>
      <w:r w:rsidR="00884E84" w:rsidRPr="008A0CCC">
        <w:rPr>
          <w:sz w:val="24"/>
          <w:szCs w:val="24"/>
        </w:rPr>
        <w:t>effective</w:t>
      </w:r>
      <w:r w:rsidR="00BB5F7C">
        <w:rPr>
          <w:sz w:val="24"/>
          <w:szCs w:val="24"/>
        </w:rPr>
        <w:t xml:space="preserve"> from the</w:t>
      </w:r>
      <w:r w:rsidR="00884E84" w:rsidRPr="008A0CCC">
        <w:rPr>
          <w:sz w:val="24"/>
          <w:szCs w:val="24"/>
        </w:rPr>
        <w:t xml:space="preserve"> 3</w:t>
      </w:r>
      <w:r w:rsidR="00BB5F7C">
        <w:rPr>
          <w:sz w:val="24"/>
          <w:szCs w:val="24"/>
        </w:rPr>
        <w:t>1</w:t>
      </w:r>
      <w:proofErr w:type="gramStart"/>
      <w:r w:rsidR="00BB5F7C" w:rsidRPr="008F476E">
        <w:rPr>
          <w:sz w:val="24"/>
          <w:szCs w:val="24"/>
          <w:vertAlign w:val="superscript"/>
        </w:rPr>
        <w:t>st</w:t>
      </w:r>
      <w:r w:rsidR="00BB5F7C">
        <w:rPr>
          <w:sz w:val="24"/>
          <w:szCs w:val="24"/>
        </w:rPr>
        <w:t xml:space="preserve"> </w:t>
      </w:r>
      <w:r w:rsidR="00884E84" w:rsidRPr="008A0CCC">
        <w:rPr>
          <w:sz w:val="24"/>
          <w:szCs w:val="24"/>
        </w:rPr>
        <w:t xml:space="preserve"> March</w:t>
      </w:r>
      <w:proofErr w:type="gramEnd"/>
      <w:r w:rsidR="00884E84" w:rsidRPr="008A0CCC">
        <w:rPr>
          <w:sz w:val="24"/>
          <w:szCs w:val="24"/>
        </w:rPr>
        <w:t xml:space="preserve"> 2021 identifies current national standards for day care and childminding from birth to five, whereby non-prescription medication can be administered if the parent has </w:t>
      </w:r>
      <w:r w:rsidR="00884E84" w:rsidRPr="008A0CCC">
        <w:rPr>
          <w:sz w:val="24"/>
          <w:szCs w:val="24"/>
        </w:rPr>
        <w:lastRenderedPageBreak/>
        <w:t>given prior written consent for the administration of any medication</w:t>
      </w:r>
      <w:r w:rsidR="00A44A3F">
        <w:rPr>
          <w:sz w:val="24"/>
          <w:szCs w:val="24"/>
        </w:rPr>
        <w:t>.</w:t>
      </w:r>
    </w:p>
    <w:p w14:paraId="3D7C4F06" w14:textId="77777777" w:rsidR="00A44A3F" w:rsidRDefault="00A44A3F" w:rsidP="008A0CCC">
      <w:pPr>
        <w:ind w:left="142"/>
        <w:rPr>
          <w:sz w:val="24"/>
          <w:szCs w:val="24"/>
        </w:rPr>
      </w:pPr>
    </w:p>
    <w:p w14:paraId="11DC862A" w14:textId="560FF6CF" w:rsidR="00884E84" w:rsidRPr="008A0CCC" w:rsidRDefault="00884E84" w:rsidP="008A0CCC">
      <w:pPr>
        <w:ind w:left="142"/>
        <w:rPr>
          <w:sz w:val="24"/>
          <w:szCs w:val="24"/>
        </w:rPr>
      </w:pPr>
      <w:r w:rsidRPr="008A0CCC">
        <w:rPr>
          <w:sz w:val="24"/>
          <w:szCs w:val="24"/>
        </w:rPr>
        <w:t xml:space="preserve">For ease of </w:t>
      </w:r>
      <w:proofErr w:type="gramStart"/>
      <w:r w:rsidRPr="008A0CCC">
        <w:rPr>
          <w:sz w:val="24"/>
          <w:szCs w:val="24"/>
        </w:rPr>
        <w:t>reference</w:t>
      </w:r>
      <w:proofErr w:type="gramEnd"/>
      <w:r w:rsidRPr="008A0CCC">
        <w:rPr>
          <w:sz w:val="24"/>
          <w:szCs w:val="24"/>
        </w:rPr>
        <w:t xml:space="preserve"> it states (page 33):</w:t>
      </w:r>
    </w:p>
    <w:p w14:paraId="5413A431" w14:textId="77777777" w:rsidR="00884E84" w:rsidRPr="008A0CCC" w:rsidRDefault="00884E84" w:rsidP="008A0CCC">
      <w:pPr>
        <w:ind w:left="142"/>
        <w:rPr>
          <w:sz w:val="24"/>
          <w:szCs w:val="24"/>
        </w:rPr>
      </w:pPr>
    </w:p>
    <w:p w14:paraId="108EC8B7" w14:textId="77777777" w:rsidR="00884E84" w:rsidRPr="008A0CCC" w:rsidRDefault="00884E84" w:rsidP="008A0CCC">
      <w:pPr>
        <w:ind w:left="142"/>
        <w:rPr>
          <w:sz w:val="24"/>
          <w:szCs w:val="24"/>
        </w:rPr>
      </w:pPr>
      <w:r w:rsidRPr="008A0CCC">
        <w:rPr>
          <w:i/>
          <w:iCs/>
          <w:sz w:val="24"/>
          <w:szCs w:val="24"/>
        </w:rPr>
        <w:t>Medicine (both prescription and non-prescription</w:t>
      </w:r>
      <w:r w:rsidRPr="008A0CCC">
        <w:rPr>
          <w:i/>
          <w:iCs/>
          <w:sz w:val="24"/>
          <w:szCs w:val="24"/>
          <w:vertAlign w:val="superscript"/>
        </w:rPr>
        <w:t>55</w:t>
      </w:r>
      <w:r w:rsidRPr="008A0CCC">
        <w:rPr>
          <w:i/>
          <w:iCs/>
          <w:sz w:val="24"/>
          <w:szCs w:val="24"/>
        </w:rPr>
        <w:t xml:space="preserve">) must only be administered to a child where written permission for that </w:t>
      </w:r>
      <w:proofErr w:type="gramStart"/>
      <w:r w:rsidRPr="008A0CCC">
        <w:rPr>
          <w:i/>
          <w:iCs/>
          <w:sz w:val="24"/>
          <w:szCs w:val="24"/>
        </w:rPr>
        <w:t>particular medicine</w:t>
      </w:r>
      <w:proofErr w:type="gramEnd"/>
      <w:r w:rsidRPr="008A0CCC">
        <w:rPr>
          <w:i/>
          <w:iCs/>
          <w:sz w:val="24"/>
          <w:szCs w:val="24"/>
        </w:rPr>
        <w:t xml:space="preserve"> has been</w:t>
      </w:r>
      <w:r w:rsidRPr="008A0CCC">
        <w:rPr>
          <w:sz w:val="24"/>
          <w:szCs w:val="24"/>
        </w:rPr>
        <w:t xml:space="preserve"> </w:t>
      </w:r>
      <w:r w:rsidRPr="008A0CCC">
        <w:rPr>
          <w:i/>
          <w:iCs/>
          <w:sz w:val="24"/>
          <w:szCs w:val="24"/>
        </w:rPr>
        <w:t>obtained from the child’s parent and/or carer</w:t>
      </w:r>
      <w:r w:rsidRPr="008A0CCC">
        <w:rPr>
          <w:sz w:val="24"/>
          <w:szCs w:val="24"/>
        </w:rPr>
        <w:t>.</w:t>
      </w:r>
    </w:p>
    <w:p w14:paraId="50B6D0F2" w14:textId="77777777" w:rsidR="00884E84" w:rsidRPr="008A0CCC" w:rsidRDefault="00884E84" w:rsidP="008A0CCC">
      <w:pPr>
        <w:ind w:left="142"/>
        <w:rPr>
          <w:sz w:val="24"/>
          <w:szCs w:val="24"/>
        </w:rPr>
      </w:pPr>
    </w:p>
    <w:p w14:paraId="107AC429" w14:textId="2AF0D7A2" w:rsidR="00884E84" w:rsidRPr="008F476E" w:rsidRDefault="00884E84" w:rsidP="008A0CCC">
      <w:pPr>
        <w:ind w:left="142"/>
        <w:rPr>
          <w:i/>
          <w:iCs/>
          <w:color w:val="1903ED"/>
          <w:sz w:val="24"/>
          <w:szCs w:val="24"/>
        </w:rPr>
      </w:pPr>
      <w:r w:rsidRPr="008A0CCC">
        <w:rPr>
          <w:i/>
          <w:iCs/>
          <w:sz w:val="24"/>
          <w:szCs w:val="24"/>
          <w:vertAlign w:val="superscript"/>
        </w:rPr>
        <w:t>55</w:t>
      </w:r>
      <w:r w:rsidRPr="008A0CCC">
        <w:rPr>
          <w:i/>
          <w:iCs/>
          <w:sz w:val="24"/>
          <w:szCs w:val="24"/>
        </w:rPr>
        <w:t xml:space="preserve"> Non-prescription medicines can include those that can be purchased from pharmacies (including some over the counter medicines which can only be purchased from a pharmacy), health shops and supermarkets. See also BMA advice: </w:t>
      </w:r>
      <w:hyperlink r:id="rId24" w:history="1">
        <w:r w:rsidRPr="008F476E">
          <w:rPr>
            <w:rStyle w:val="Hyperlink"/>
            <w:i/>
            <w:iCs/>
            <w:color w:val="1903ED"/>
            <w:sz w:val="24"/>
            <w:szCs w:val="24"/>
          </w:rPr>
          <w:t>https://www.bma.org.uk/advice-and-support/gp-practices/managing-workload/prescribing-</w:t>
        </w:r>
        <w:r w:rsidR="002E40CC" w:rsidRPr="008F476E">
          <w:rPr>
            <w:rStyle w:val="Hyperlink"/>
            <w:i/>
            <w:iCs/>
            <w:color w:val="1903ED"/>
            <w:sz w:val="24"/>
            <w:szCs w:val="24"/>
          </w:rPr>
          <w:t>over the counter</w:t>
        </w:r>
        <w:r w:rsidRPr="008F476E">
          <w:rPr>
            <w:rStyle w:val="Hyperlink"/>
            <w:i/>
            <w:iCs/>
            <w:color w:val="1903ED"/>
            <w:sz w:val="24"/>
            <w:szCs w:val="24"/>
          </w:rPr>
          <w:t>-medicines-in-nurseries-and-schools</w:t>
        </w:r>
      </w:hyperlink>
      <w:r w:rsidRPr="008F476E">
        <w:rPr>
          <w:i/>
          <w:iCs/>
          <w:color w:val="1903ED"/>
          <w:sz w:val="24"/>
          <w:szCs w:val="24"/>
        </w:rPr>
        <w:t xml:space="preserve"> </w:t>
      </w:r>
    </w:p>
    <w:p w14:paraId="50C4101E" w14:textId="77777777" w:rsidR="00884E84" w:rsidRPr="00884E84" w:rsidRDefault="00884E84" w:rsidP="008A0CCC">
      <w:pPr>
        <w:ind w:left="142"/>
        <w:rPr>
          <w:sz w:val="24"/>
          <w:szCs w:val="24"/>
        </w:rPr>
      </w:pPr>
    </w:p>
    <w:p w14:paraId="32BD6412" w14:textId="46F91AA3" w:rsidR="005C6DE8" w:rsidRDefault="00D17A54" w:rsidP="007E6C19">
      <w:pPr>
        <w:ind w:left="142"/>
        <w:rPr>
          <w:sz w:val="24"/>
          <w:szCs w:val="24"/>
        </w:rPr>
      </w:pPr>
      <w:hyperlink r:id="rId25" w:history="1">
        <w:r w:rsidR="00884E84" w:rsidRPr="008F476E">
          <w:rPr>
            <w:rStyle w:val="Hyperlink"/>
            <w:color w:val="1903ED"/>
            <w:sz w:val="24"/>
            <w:szCs w:val="24"/>
          </w:rPr>
          <w:t>The Supporting Pupils at School with Medical Conditions</w:t>
        </w:r>
      </w:hyperlink>
      <w:r w:rsidR="00884E84" w:rsidRPr="00884E84">
        <w:rPr>
          <w:b/>
          <w:sz w:val="24"/>
          <w:szCs w:val="24"/>
        </w:rPr>
        <w:t xml:space="preserve"> </w:t>
      </w:r>
      <w:r w:rsidR="00884E84" w:rsidRPr="007E6C19">
        <w:rPr>
          <w:bCs/>
          <w:sz w:val="24"/>
          <w:szCs w:val="24"/>
        </w:rPr>
        <w:t>- December 2015</w:t>
      </w:r>
      <w:r w:rsidR="00884E84" w:rsidRPr="00884E84">
        <w:rPr>
          <w:sz w:val="24"/>
          <w:szCs w:val="24"/>
        </w:rPr>
        <w:t xml:space="preserve"> statutory guidance for governing bodies of maintained schools &amp; proprietors of academies in England </w:t>
      </w:r>
      <w:r w:rsidR="007E6C19">
        <w:rPr>
          <w:sz w:val="24"/>
          <w:szCs w:val="24"/>
        </w:rPr>
        <w:t>state</w:t>
      </w:r>
      <w:r w:rsidR="005C6DE8">
        <w:rPr>
          <w:sz w:val="24"/>
          <w:szCs w:val="24"/>
        </w:rPr>
        <w:t>s (page 20):</w:t>
      </w:r>
    </w:p>
    <w:p w14:paraId="5D7FC26B" w14:textId="77777777" w:rsidR="005C6DE8" w:rsidRDefault="005C6DE8" w:rsidP="007E6C19">
      <w:pPr>
        <w:ind w:left="142"/>
        <w:rPr>
          <w:sz w:val="24"/>
          <w:szCs w:val="24"/>
        </w:rPr>
      </w:pPr>
    </w:p>
    <w:p w14:paraId="78906ADB" w14:textId="19C15E58" w:rsidR="00884E84" w:rsidRPr="002E40CC" w:rsidRDefault="00884E84" w:rsidP="008A0CCC">
      <w:pPr>
        <w:ind w:left="142"/>
        <w:rPr>
          <w:i/>
          <w:iCs/>
          <w:sz w:val="24"/>
          <w:szCs w:val="24"/>
        </w:rPr>
      </w:pPr>
      <w:r w:rsidRPr="002E40CC">
        <w:rPr>
          <w:i/>
          <w:iCs/>
          <w:sz w:val="24"/>
          <w:szCs w:val="24"/>
        </w:rPr>
        <w:t>No child under 16 should be given prescription or non-prescription medicines without their parent’s written consent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Schools should set out the circumstances in which non-prescription medicines may be administered.</w:t>
      </w:r>
    </w:p>
    <w:p w14:paraId="57603D22" w14:textId="77777777" w:rsidR="00884E84" w:rsidRPr="002E40CC" w:rsidRDefault="00884E84" w:rsidP="008A0CCC">
      <w:pPr>
        <w:ind w:left="142"/>
        <w:rPr>
          <w:i/>
          <w:iCs/>
          <w:sz w:val="24"/>
          <w:szCs w:val="24"/>
        </w:rPr>
      </w:pPr>
    </w:p>
    <w:p w14:paraId="221618A5" w14:textId="77777777" w:rsidR="00884E84" w:rsidRPr="002E40CC" w:rsidRDefault="00884E84" w:rsidP="008A0CCC">
      <w:pPr>
        <w:ind w:left="142"/>
        <w:rPr>
          <w:i/>
          <w:iCs/>
          <w:sz w:val="24"/>
          <w:szCs w:val="24"/>
        </w:rPr>
      </w:pPr>
      <w:r w:rsidRPr="002E40CC">
        <w:rPr>
          <w:i/>
          <w:iCs/>
          <w:sz w:val="24"/>
          <w:szCs w:val="24"/>
        </w:rPr>
        <w:t xml:space="preserve">A child under 16 should never be given medicine containing aspirin unless prescribed by a doctor. Medication, </w:t>
      </w:r>
      <w:proofErr w:type="gramStart"/>
      <w:r w:rsidRPr="002E40CC">
        <w:rPr>
          <w:i/>
          <w:iCs/>
          <w:sz w:val="24"/>
          <w:szCs w:val="24"/>
        </w:rPr>
        <w:t>e.g.</w:t>
      </w:r>
      <w:proofErr w:type="gramEnd"/>
      <w:r w:rsidRPr="002E40CC">
        <w:rPr>
          <w:i/>
          <w:iCs/>
          <w:sz w:val="24"/>
          <w:szCs w:val="24"/>
        </w:rPr>
        <w:t xml:space="preserve"> for pain relief, should never be administered without first checking maximum dosages and when the previous dose was taken. Parents should be informed.</w:t>
      </w:r>
    </w:p>
    <w:p w14:paraId="35362B66" w14:textId="77777777" w:rsidR="00950D9C" w:rsidRDefault="00950D9C" w:rsidP="00950D9C">
      <w:pPr>
        <w:pStyle w:val="BodyText"/>
        <w:spacing w:before="7"/>
        <w:rPr>
          <w:sz w:val="19"/>
        </w:rPr>
      </w:pPr>
    </w:p>
    <w:p w14:paraId="7A2BC5A3" w14:textId="77777777" w:rsidR="00950D9C" w:rsidRDefault="00950D9C" w:rsidP="00950D9C">
      <w:pPr>
        <w:pStyle w:val="Heading1"/>
        <w:numPr>
          <w:ilvl w:val="0"/>
          <w:numId w:val="3"/>
        </w:numPr>
        <w:tabs>
          <w:tab w:val="left" w:pos="580"/>
        </w:tabs>
        <w:spacing w:before="92"/>
      </w:pPr>
      <w:r>
        <w:t>Can vitamins and minerals still be prescribed on</w:t>
      </w:r>
      <w:r>
        <w:rPr>
          <w:spacing w:val="-5"/>
        </w:rPr>
        <w:t xml:space="preserve"> </w:t>
      </w:r>
      <w:r>
        <w:t>prescription?</w:t>
      </w:r>
    </w:p>
    <w:p w14:paraId="7C49F965" w14:textId="77777777" w:rsidR="00950D9C" w:rsidRDefault="00950D9C" w:rsidP="00950D9C">
      <w:pPr>
        <w:pStyle w:val="BodyText"/>
        <w:rPr>
          <w:b/>
        </w:rPr>
      </w:pPr>
    </w:p>
    <w:p w14:paraId="3CF18935" w14:textId="77777777" w:rsidR="00950D9C" w:rsidRDefault="00950D9C" w:rsidP="00950D9C">
      <w:pPr>
        <w:ind w:left="220" w:right="413"/>
        <w:rPr>
          <w:sz w:val="24"/>
        </w:rPr>
      </w:pPr>
      <w:r>
        <w:rPr>
          <w:sz w:val="24"/>
        </w:rPr>
        <w:t xml:space="preserve">Vitamins and minerals should </w:t>
      </w:r>
      <w:r>
        <w:rPr>
          <w:b/>
          <w:sz w:val="24"/>
        </w:rPr>
        <w:t xml:space="preserve">not be routinely prescribed </w:t>
      </w:r>
      <w:r>
        <w:rPr>
          <w:sz w:val="24"/>
        </w:rPr>
        <w:t>due to limited evidence of clinical effectiveness.</w:t>
      </w:r>
    </w:p>
    <w:p w14:paraId="1929974A" w14:textId="77777777" w:rsidR="00950D9C" w:rsidRDefault="00950D9C" w:rsidP="00950D9C">
      <w:pPr>
        <w:pStyle w:val="BodyText"/>
      </w:pPr>
    </w:p>
    <w:p w14:paraId="6B9DADF9" w14:textId="77777777" w:rsidR="00950D9C" w:rsidRDefault="00950D9C" w:rsidP="00950D9C">
      <w:pPr>
        <w:pStyle w:val="BodyText"/>
        <w:ind w:left="220" w:right="305"/>
      </w:pPr>
      <w:r>
        <w:t xml:space="preserve">Vitamins and minerals are essential nutrients which most people can and should get from eating a healthy, </w:t>
      </w:r>
      <w:proofErr w:type="gramStart"/>
      <w:r>
        <w:t>varied</w:t>
      </w:r>
      <w:proofErr w:type="gramEnd"/>
      <w:r>
        <w:t xml:space="preserve"> and balanced diet. In most cases, dietary supplementation is unnecessary.</w:t>
      </w:r>
    </w:p>
    <w:p w14:paraId="1B281D39" w14:textId="77777777" w:rsidR="00950D9C" w:rsidRDefault="00950D9C" w:rsidP="00950D9C">
      <w:pPr>
        <w:pStyle w:val="BodyText"/>
      </w:pPr>
    </w:p>
    <w:p w14:paraId="6CF5DF9B" w14:textId="77777777" w:rsidR="00950D9C" w:rsidRDefault="00950D9C" w:rsidP="00950D9C">
      <w:pPr>
        <w:pStyle w:val="BodyText"/>
        <w:ind w:left="220" w:right="1558" w:firstLine="67"/>
      </w:pPr>
      <w:r>
        <w:t>Any prescribing not in-line with the following listed exceptions should be discontinued.</w:t>
      </w:r>
    </w:p>
    <w:p w14:paraId="2F903D96" w14:textId="77777777" w:rsidR="00950D9C" w:rsidRDefault="00950D9C" w:rsidP="00950D9C">
      <w:pPr>
        <w:pStyle w:val="ListParagraph"/>
        <w:numPr>
          <w:ilvl w:val="0"/>
          <w:numId w:val="2"/>
        </w:numPr>
        <w:tabs>
          <w:tab w:val="left" w:pos="939"/>
          <w:tab w:val="left" w:pos="940"/>
        </w:tabs>
        <w:spacing w:before="6" w:line="235" w:lineRule="auto"/>
        <w:ind w:right="410"/>
        <w:rPr>
          <w:sz w:val="24"/>
        </w:rPr>
      </w:pPr>
      <w:r>
        <w:rPr>
          <w:sz w:val="24"/>
        </w:rPr>
        <w:t>Medically diagnosed deficiency, including for those patients who may have a lifelong or chronic condition or have undergone surgery that results in malabsorption. Continuing need should however be reviewed on a regular basis.</w:t>
      </w:r>
    </w:p>
    <w:p w14:paraId="4B977C22" w14:textId="77777777" w:rsidR="00950D9C" w:rsidRDefault="00950D9C" w:rsidP="00950D9C">
      <w:pPr>
        <w:pStyle w:val="ListParagraph"/>
        <w:numPr>
          <w:ilvl w:val="0"/>
          <w:numId w:val="2"/>
        </w:numPr>
        <w:tabs>
          <w:tab w:val="left" w:pos="939"/>
          <w:tab w:val="left" w:pos="940"/>
        </w:tabs>
        <w:spacing w:before="6" w:line="286" w:lineRule="exact"/>
        <w:rPr>
          <w:sz w:val="24"/>
        </w:rPr>
      </w:pPr>
      <w:r>
        <w:rPr>
          <w:sz w:val="24"/>
        </w:rPr>
        <w:t>Calcium and vitamin D for</w:t>
      </w:r>
      <w:r>
        <w:rPr>
          <w:spacing w:val="-2"/>
          <w:sz w:val="24"/>
        </w:rPr>
        <w:t xml:space="preserve"> </w:t>
      </w:r>
      <w:r>
        <w:rPr>
          <w:sz w:val="24"/>
        </w:rPr>
        <w:t>osteoporosis.</w:t>
      </w:r>
    </w:p>
    <w:p w14:paraId="0D81F9A0" w14:textId="77777777" w:rsidR="00950D9C" w:rsidRDefault="00950D9C" w:rsidP="00950D9C">
      <w:pPr>
        <w:pStyle w:val="ListParagraph"/>
        <w:numPr>
          <w:ilvl w:val="0"/>
          <w:numId w:val="2"/>
        </w:numPr>
        <w:tabs>
          <w:tab w:val="left" w:pos="939"/>
          <w:tab w:val="left" w:pos="940"/>
        </w:tabs>
        <w:spacing w:line="278" w:lineRule="exact"/>
        <w:rPr>
          <w:sz w:val="24"/>
        </w:rPr>
      </w:pPr>
      <w:r>
        <w:rPr>
          <w:sz w:val="24"/>
        </w:rPr>
        <w:t>Malnutrition including alcoholism (see NICE guidance)</w:t>
      </w:r>
    </w:p>
    <w:p w14:paraId="176E9004" w14:textId="0A879345" w:rsidR="005B2B2E" w:rsidRDefault="00950D9C" w:rsidP="005B2B2E">
      <w:pPr>
        <w:pStyle w:val="ListParagraph"/>
        <w:numPr>
          <w:ilvl w:val="0"/>
          <w:numId w:val="2"/>
        </w:numPr>
        <w:tabs>
          <w:tab w:val="left" w:pos="939"/>
          <w:tab w:val="left" w:pos="940"/>
        </w:tabs>
        <w:spacing w:line="286" w:lineRule="exact"/>
        <w:ind w:hanging="361"/>
        <w:rPr>
          <w:sz w:val="24"/>
        </w:rPr>
      </w:pPr>
      <w:r>
        <w:rPr>
          <w:sz w:val="24"/>
        </w:rPr>
        <w:t>Iron deficiency in</w:t>
      </w:r>
      <w:r>
        <w:rPr>
          <w:spacing w:val="-1"/>
          <w:sz w:val="24"/>
        </w:rPr>
        <w:t xml:space="preserve"> </w:t>
      </w:r>
      <w:r>
        <w:rPr>
          <w:sz w:val="24"/>
        </w:rPr>
        <w:t>pregnancy</w:t>
      </w:r>
    </w:p>
    <w:p w14:paraId="27917591" w14:textId="77777777" w:rsidR="005B2B2E" w:rsidRDefault="005B2B2E" w:rsidP="005B2B2E">
      <w:pPr>
        <w:pStyle w:val="ListParagraph"/>
        <w:numPr>
          <w:ilvl w:val="0"/>
          <w:numId w:val="2"/>
        </w:numPr>
        <w:tabs>
          <w:tab w:val="left" w:pos="939"/>
          <w:tab w:val="left" w:pos="940"/>
        </w:tabs>
        <w:spacing w:line="286" w:lineRule="exact"/>
        <w:ind w:hanging="361"/>
        <w:rPr>
          <w:sz w:val="24"/>
        </w:rPr>
      </w:pPr>
    </w:p>
    <w:p w14:paraId="4B505313" w14:textId="58CD6EDA" w:rsidR="00950D9C" w:rsidRPr="005B2B2E" w:rsidRDefault="00950D9C" w:rsidP="005B2B2E">
      <w:pPr>
        <w:pStyle w:val="BodyText"/>
        <w:ind w:left="219"/>
      </w:pPr>
      <w:r>
        <w:t>Maintenance or preventative treatment is not an exception.</w:t>
      </w:r>
    </w:p>
    <w:p w14:paraId="638FE19B" w14:textId="77777777" w:rsidR="00950D9C" w:rsidRDefault="00950D9C" w:rsidP="00950D9C">
      <w:pPr>
        <w:pStyle w:val="Heading1"/>
        <w:numPr>
          <w:ilvl w:val="0"/>
          <w:numId w:val="3"/>
        </w:numPr>
        <w:tabs>
          <w:tab w:val="left" w:pos="580"/>
        </w:tabs>
        <w:spacing w:before="230"/>
        <w:ind w:hanging="361"/>
      </w:pPr>
      <w:r>
        <w:lastRenderedPageBreak/>
        <w:t>Can vitamin D still be prescribed on</w:t>
      </w:r>
      <w:r>
        <w:rPr>
          <w:spacing w:val="-4"/>
        </w:rPr>
        <w:t xml:space="preserve"> </w:t>
      </w:r>
      <w:r>
        <w:t>prescription?</w:t>
      </w:r>
    </w:p>
    <w:p w14:paraId="21CEF21E" w14:textId="77777777" w:rsidR="00950D9C" w:rsidRDefault="00950D9C" w:rsidP="00950D9C">
      <w:pPr>
        <w:pStyle w:val="BodyText"/>
        <w:rPr>
          <w:b/>
        </w:rPr>
      </w:pPr>
    </w:p>
    <w:p w14:paraId="1B2B3793" w14:textId="1AE2DC29" w:rsidR="00950D9C" w:rsidRDefault="00950D9C" w:rsidP="00950D9C">
      <w:pPr>
        <w:pStyle w:val="BodyText"/>
        <w:ind w:left="220" w:right="225"/>
      </w:pPr>
      <w:r>
        <w:t xml:space="preserve">Vitamin D should only be prescribed when the patient’s vitamin D level is </w:t>
      </w:r>
      <w:proofErr w:type="spellStart"/>
      <w:r>
        <w:t>categorised</w:t>
      </w:r>
      <w:proofErr w:type="spellEnd"/>
      <w:r>
        <w:t xml:space="preserve"> as “deficient”. The </w:t>
      </w:r>
      <w:r w:rsidR="00BA5D85" w:rsidRPr="00BA5D85">
        <w:t>SEL IMOC,</w:t>
      </w:r>
      <w:r w:rsidR="00BA5D85" w:rsidRPr="00950D9C">
        <w:rPr>
          <w:color w:val="0070C0"/>
          <w:sz w:val="16"/>
        </w:rPr>
        <w:t xml:space="preserve"> </w:t>
      </w:r>
      <w:r>
        <w:t xml:space="preserve">has developed guidance for management of Vitamin D deficiency </w:t>
      </w:r>
      <w:r w:rsidRPr="00BB5F7C">
        <w:t xml:space="preserve">in </w:t>
      </w:r>
      <w:hyperlink r:id="rId26" w:history="1">
        <w:r w:rsidRPr="007A3C11">
          <w:rPr>
            <w:rStyle w:val="Hyperlink"/>
            <w:color w:val="1903ED"/>
          </w:rPr>
          <w:t>Adults</w:t>
        </w:r>
      </w:hyperlink>
      <w:r w:rsidRPr="007A3C11">
        <w:t xml:space="preserve">, </w:t>
      </w:r>
      <w:r w:rsidRPr="007A3C11">
        <w:rPr>
          <w:color w:val="1903ED"/>
        </w:rPr>
        <w:t xml:space="preserve"> </w:t>
      </w:r>
      <w:hyperlink r:id="rId27" w:history="1">
        <w:r w:rsidRPr="007A3C11">
          <w:rPr>
            <w:rStyle w:val="Hyperlink"/>
            <w:color w:val="1903ED"/>
          </w:rPr>
          <w:t>Children</w:t>
        </w:r>
      </w:hyperlink>
      <w:r w:rsidRPr="007A3C11">
        <w:t>, and in Pregnancy and Lactation.</w:t>
      </w:r>
    </w:p>
    <w:p w14:paraId="63FFD19A" w14:textId="77777777" w:rsidR="00950D9C" w:rsidRDefault="00950D9C" w:rsidP="00950D9C">
      <w:pPr>
        <w:pStyle w:val="BodyText"/>
        <w:rPr>
          <w:sz w:val="16"/>
        </w:rPr>
      </w:pPr>
    </w:p>
    <w:p w14:paraId="6818DA8F" w14:textId="77777777" w:rsidR="00950D9C" w:rsidRDefault="00950D9C" w:rsidP="00950D9C">
      <w:pPr>
        <w:pStyle w:val="BodyText"/>
        <w:spacing w:before="93"/>
        <w:ind w:left="220" w:right="211"/>
      </w:pPr>
      <w:r>
        <w:t>Patients may be suitable to receive Healthy start vitamins for pregnancy or children between the ages 6 months to their fourth birthday. (NB this is not on prescription but commissioned separately, check if commissioned in your borough).</w:t>
      </w:r>
    </w:p>
    <w:p w14:paraId="1C858315" w14:textId="77777777" w:rsidR="00950D9C" w:rsidRDefault="00950D9C" w:rsidP="00950D9C">
      <w:pPr>
        <w:pStyle w:val="BodyText"/>
        <w:spacing w:before="11"/>
        <w:rPr>
          <w:sz w:val="23"/>
        </w:rPr>
      </w:pPr>
    </w:p>
    <w:p w14:paraId="49027C05" w14:textId="7339AF50" w:rsidR="00950D9C" w:rsidRDefault="00950D9C" w:rsidP="00950D9C">
      <w:pPr>
        <w:pStyle w:val="BodyText"/>
        <w:ind w:left="220" w:right="275"/>
      </w:pPr>
      <w:r>
        <w:t xml:space="preserve">Public Health England guidance relating to vitamin D recommends vitamin D maintenance therapy however there is no indication that this needs to be prescribed; vitamin D supplements can be bought cheaply and easily over the counter. The Public Health England guidance also does not distinguish between the general public and </w:t>
      </w:r>
      <w:proofErr w:type="gramStart"/>
      <w:r>
        <w:t>at risk</w:t>
      </w:r>
      <w:proofErr w:type="gramEnd"/>
      <w:r>
        <w:t xml:space="preserve"> patients with respect to maintenance</w:t>
      </w:r>
      <w:r>
        <w:rPr>
          <w:spacing w:val="-10"/>
        </w:rPr>
        <w:t xml:space="preserve"> </w:t>
      </w:r>
      <w:r>
        <w:t>therapy</w:t>
      </w:r>
      <w:r w:rsidR="007664B0">
        <w:rPr>
          <w:vertAlign w:val="superscript"/>
        </w:rPr>
        <w:t>3</w:t>
      </w:r>
      <w:r>
        <w:t>.</w:t>
      </w:r>
    </w:p>
    <w:p w14:paraId="070780FC" w14:textId="77777777" w:rsidR="00327287" w:rsidRDefault="00327287" w:rsidP="00950D9C">
      <w:pPr>
        <w:pStyle w:val="BodyText"/>
        <w:ind w:left="220" w:right="275"/>
      </w:pPr>
    </w:p>
    <w:p w14:paraId="1E6345B1" w14:textId="77777777" w:rsidR="00950D9C" w:rsidRDefault="00950D9C" w:rsidP="00950D9C">
      <w:pPr>
        <w:pStyle w:val="Heading1"/>
        <w:numPr>
          <w:ilvl w:val="0"/>
          <w:numId w:val="3"/>
        </w:numPr>
        <w:tabs>
          <w:tab w:val="left" w:pos="580"/>
        </w:tabs>
        <w:spacing w:before="82"/>
        <w:ind w:right="456"/>
      </w:pPr>
      <w:r>
        <w:t>Can glucosamine and chondroitin; and lutein and antioxidant products be prescribed on</w:t>
      </w:r>
      <w:r>
        <w:rPr>
          <w:spacing w:val="-1"/>
        </w:rPr>
        <w:t xml:space="preserve"> </w:t>
      </w:r>
      <w:r>
        <w:t>prescription?</w:t>
      </w:r>
    </w:p>
    <w:p w14:paraId="6175545E" w14:textId="77777777" w:rsidR="00950D9C" w:rsidRDefault="00950D9C" w:rsidP="00950D9C">
      <w:pPr>
        <w:pStyle w:val="BodyText"/>
        <w:rPr>
          <w:b/>
        </w:rPr>
      </w:pPr>
    </w:p>
    <w:p w14:paraId="6D327569" w14:textId="77777777" w:rsidR="00950D9C" w:rsidRDefault="00950D9C" w:rsidP="00950D9C">
      <w:pPr>
        <w:pStyle w:val="BodyText"/>
        <w:ind w:left="219" w:right="825"/>
      </w:pPr>
      <w:r>
        <w:t>Glucosamine and chondroitin or lutein and antioxidant products should not be initiated for any new patients. Patients established on these products should be reviewed with a view to having these supplements stopped.</w:t>
      </w:r>
    </w:p>
    <w:p w14:paraId="43CF2020" w14:textId="2B7E5F9B" w:rsidR="00950D9C" w:rsidRDefault="00950D9C" w:rsidP="00950D9C">
      <w:pPr>
        <w:pStyle w:val="BodyText"/>
        <w:ind w:left="220" w:right="225"/>
      </w:pPr>
      <w:r>
        <w:t>For further information please refer to the SEL</w:t>
      </w:r>
      <w:r w:rsidR="00327287">
        <w:t xml:space="preserve"> IMOC </w:t>
      </w:r>
      <w:r>
        <w:t xml:space="preserve">guidance for </w:t>
      </w:r>
      <w:hyperlink r:id="rId28">
        <w:r>
          <w:rPr>
            <w:color w:val="0000FF"/>
            <w:u w:val="single" w:color="0000FF"/>
          </w:rPr>
          <w:t>glucosamine and chondroitin</w:t>
        </w:r>
      </w:hyperlink>
      <w:r>
        <w:t xml:space="preserve">; and </w:t>
      </w:r>
      <w:hyperlink r:id="rId29">
        <w:r>
          <w:rPr>
            <w:color w:val="0000FF"/>
            <w:u w:val="single" w:color="0000FF"/>
          </w:rPr>
          <w:t>lutein and antioxidant</w:t>
        </w:r>
        <w:r>
          <w:rPr>
            <w:color w:val="0000FF"/>
          </w:rPr>
          <w:t xml:space="preserve"> </w:t>
        </w:r>
      </w:hyperlink>
      <w:r>
        <w:t>products.</w:t>
      </w:r>
    </w:p>
    <w:p w14:paraId="7C104383" w14:textId="77777777" w:rsidR="00950D9C" w:rsidRDefault="00950D9C" w:rsidP="00950D9C">
      <w:pPr>
        <w:pStyle w:val="BodyText"/>
        <w:rPr>
          <w:sz w:val="20"/>
        </w:rPr>
      </w:pPr>
    </w:p>
    <w:p w14:paraId="35863127" w14:textId="77777777" w:rsidR="00950D9C" w:rsidRDefault="00950D9C" w:rsidP="00950D9C">
      <w:pPr>
        <w:pStyle w:val="BodyText"/>
      </w:pPr>
    </w:p>
    <w:p w14:paraId="781869A6" w14:textId="77777777" w:rsidR="00950D9C" w:rsidRDefault="00950D9C" w:rsidP="00950D9C">
      <w:pPr>
        <w:pStyle w:val="Heading1"/>
        <w:numPr>
          <w:ilvl w:val="0"/>
          <w:numId w:val="3"/>
        </w:numPr>
        <w:tabs>
          <w:tab w:val="left" w:pos="580"/>
        </w:tabs>
        <w:spacing w:before="92"/>
        <w:ind w:right="880"/>
      </w:pPr>
      <w:r>
        <w:t>Can vitamin B complex preparations or thiamine still be prescribed on prescription for patients diagnosed with alcohol use</w:t>
      </w:r>
      <w:r>
        <w:rPr>
          <w:spacing w:val="-14"/>
        </w:rPr>
        <w:t xml:space="preserve"> </w:t>
      </w:r>
      <w:r>
        <w:t>disorders?</w:t>
      </w:r>
    </w:p>
    <w:p w14:paraId="5B9A0641" w14:textId="77777777" w:rsidR="00950D9C" w:rsidRDefault="00950D9C" w:rsidP="00950D9C">
      <w:pPr>
        <w:pStyle w:val="BodyText"/>
        <w:rPr>
          <w:b/>
        </w:rPr>
      </w:pPr>
    </w:p>
    <w:p w14:paraId="6C94DCB8" w14:textId="7EF5DC41" w:rsidR="00950D9C" w:rsidRDefault="00950D9C" w:rsidP="00327287">
      <w:pPr>
        <w:pStyle w:val="BodyText"/>
        <w:ind w:left="220" w:right="386"/>
        <w:rPr>
          <w:sz w:val="30"/>
        </w:rPr>
      </w:pPr>
      <w:r>
        <w:t>Yes.</w:t>
      </w:r>
      <w:r w:rsidRPr="00B47313">
        <w:rPr>
          <w:color w:val="1903ED"/>
        </w:rPr>
        <w:t xml:space="preserve"> </w:t>
      </w:r>
      <w:hyperlink r:id="rId30" w:history="1">
        <w:r w:rsidRPr="00B47313">
          <w:rPr>
            <w:rStyle w:val="Hyperlink"/>
            <w:color w:val="1903ED"/>
          </w:rPr>
          <w:t xml:space="preserve">NICE guideline </w:t>
        </w:r>
        <w:r w:rsidR="00584D6D" w:rsidRPr="00B47313">
          <w:rPr>
            <w:rStyle w:val="Hyperlink"/>
            <w:color w:val="1903ED"/>
          </w:rPr>
          <w:t xml:space="preserve">CG100: </w:t>
        </w:r>
        <w:r w:rsidRPr="00B47313">
          <w:rPr>
            <w:rStyle w:val="Hyperlink"/>
            <w:color w:val="1903ED"/>
          </w:rPr>
          <w:t>Alcohol-use disorders: diagnosis and management of physical complications (</w:t>
        </w:r>
        <w:r w:rsidR="00FB7E81" w:rsidRPr="00B47313">
          <w:rPr>
            <w:rStyle w:val="Hyperlink"/>
            <w:color w:val="1903ED"/>
          </w:rPr>
          <w:t>April 2017</w:t>
        </w:r>
        <w:r w:rsidRPr="00B47313">
          <w:rPr>
            <w:rStyle w:val="Hyperlink"/>
            <w:color w:val="1903ED"/>
          </w:rPr>
          <w:t>)</w:t>
        </w:r>
      </w:hyperlink>
      <w:r>
        <w:t xml:space="preserve"> recommends offering thiamine to people at high risk of developing, or with suspected, Wernicke's encephalopathy. Thiamine should be given in doses toward the upper end of the </w:t>
      </w:r>
      <w:hyperlink r:id="rId31" w:history="1">
        <w:r w:rsidR="001139E9" w:rsidRPr="00B47313">
          <w:rPr>
            <w:rStyle w:val="Hyperlink"/>
            <w:color w:val="1903ED"/>
          </w:rPr>
          <w:t>BNF</w:t>
        </w:r>
      </w:hyperlink>
      <w:r w:rsidR="00BB5F7C">
        <w:t xml:space="preserve"> </w:t>
      </w:r>
      <w:r>
        <w:t xml:space="preserve">range. </w:t>
      </w:r>
      <w:r w:rsidR="00F66DD6">
        <w:t>NB</w:t>
      </w:r>
      <w:r>
        <w:t xml:space="preserve"> vitamin B compound strong tablets at the maximum licensed dose provide less thiamine than the licensed maximum dose of thiamine tablets</w:t>
      </w:r>
      <w:r w:rsidR="007664B0">
        <w:rPr>
          <w:vertAlign w:val="superscript"/>
        </w:rPr>
        <w:t>4</w:t>
      </w:r>
      <w:r w:rsidR="00F66DD6">
        <w:t xml:space="preserve"> therefore it is considered by BNF as less suitable for prescribing</w:t>
      </w:r>
      <w:r>
        <w:t>.</w:t>
      </w:r>
    </w:p>
    <w:p w14:paraId="25E4730F" w14:textId="77777777" w:rsidR="00950D9C" w:rsidRDefault="00950D9C" w:rsidP="00950D9C">
      <w:pPr>
        <w:pStyle w:val="BodyText"/>
        <w:rPr>
          <w:sz w:val="42"/>
        </w:rPr>
      </w:pPr>
    </w:p>
    <w:p w14:paraId="481ED5CC" w14:textId="77777777" w:rsidR="00950D9C" w:rsidRDefault="00950D9C" w:rsidP="00950D9C">
      <w:pPr>
        <w:pStyle w:val="Heading1"/>
        <w:numPr>
          <w:ilvl w:val="0"/>
          <w:numId w:val="3"/>
        </w:numPr>
        <w:tabs>
          <w:tab w:val="left" w:pos="580"/>
        </w:tabs>
        <w:ind w:right="641"/>
      </w:pPr>
      <w:r>
        <w:t>Can vitamins and minerals recommended by the bariatric surgery teams still be prescribed after a patient has had bariatric</w:t>
      </w:r>
      <w:r>
        <w:rPr>
          <w:spacing w:val="-15"/>
        </w:rPr>
        <w:t xml:space="preserve"> </w:t>
      </w:r>
      <w:r>
        <w:t>surgery?</w:t>
      </w:r>
    </w:p>
    <w:p w14:paraId="61FCDAA9" w14:textId="77777777" w:rsidR="00950D9C" w:rsidRDefault="00950D9C" w:rsidP="00950D9C">
      <w:pPr>
        <w:pStyle w:val="BodyText"/>
        <w:rPr>
          <w:b/>
        </w:rPr>
      </w:pPr>
    </w:p>
    <w:p w14:paraId="654390A8" w14:textId="48D2D0E7" w:rsidR="00950D9C" w:rsidRDefault="00950D9C" w:rsidP="00327287">
      <w:pPr>
        <w:pStyle w:val="BodyText"/>
        <w:ind w:left="220" w:right="344"/>
        <w:rPr>
          <w:sz w:val="30"/>
        </w:rPr>
      </w:pPr>
      <w:r>
        <w:t>Following bariatric surgery patients are often recommended to continue with lifelong vitamin and mineral supplements. NHS England guidance states that patients who have undergone surgery that results in malabsorption can continue to be prescribed vitamins and minerals on prescription</w:t>
      </w:r>
      <w:r w:rsidR="007664B0">
        <w:rPr>
          <w:vertAlign w:val="superscript"/>
        </w:rPr>
        <w:t>5</w:t>
      </w:r>
      <w:r>
        <w:t>.</w:t>
      </w:r>
    </w:p>
    <w:p w14:paraId="6C116973" w14:textId="77777777" w:rsidR="00950D9C" w:rsidRDefault="00950D9C" w:rsidP="00950D9C">
      <w:pPr>
        <w:pStyle w:val="BodyText"/>
        <w:rPr>
          <w:sz w:val="42"/>
        </w:rPr>
      </w:pPr>
    </w:p>
    <w:p w14:paraId="34BF5872" w14:textId="77777777" w:rsidR="005B2B2E" w:rsidRDefault="005B2B2E" w:rsidP="00950D9C">
      <w:pPr>
        <w:pStyle w:val="BodyText"/>
        <w:rPr>
          <w:sz w:val="42"/>
        </w:rPr>
      </w:pPr>
    </w:p>
    <w:p w14:paraId="3D98CF4B" w14:textId="77777777" w:rsidR="005B2B2E" w:rsidRDefault="005B2B2E" w:rsidP="00950D9C">
      <w:pPr>
        <w:pStyle w:val="BodyText"/>
        <w:rPr>
          <w:sz w:val="42"/>
        </w:rPr>
      </w:pPr>
    </w:p>
    <w:p w14:paraId="73075A9C" w14:textId="77777777" w:rsidR="00950D9C" w:rsidRDefault="00950D9C" w:rsidP="00950D9C">
      <w:pPr>
        <w:pStyle w:val="Heading1"/>
        <w:numPr>
          <w:ilvl w:val="0"/>
          <w:numId w:val="3"/>
        </w:numPr>
        <w:tabs>
          <w:tab w:val="left" w:pos="648"/>
        </w:tabs>
        <w:spacing w:before="1"/>
        <w:ind w:left="647" w:hanging="428"/>
      </w:pPr>
      <w:r>
        <w:lastRenderedPageBreak/>
        <w:t>Can probiotics still be prescribed on</w:t>
      </w:r>
      <w:r>
        <w:rPr>
          <w:spacing w:val="-2"/>
        </w:rPr>
        <w:t xml:space="preserve"> </w:t>
      </w:r>
      <w:r>
        <w:t>prescription?</w:t>
      </w:r>
    </w:p>
    <w:p w14:paraId="7C2BF9FF" w14:textId="77777777" w:rsidR="00950D9C" w:rsidRDefault="00950D9C" w:rsidP="00950D9C">
      <w:pPr>
        <w:pStyle w:val="BodyText"/>
        <w:spacing w:before="11"/>
        <w:rPr>
          <w:b/>
          <w:sz w:val="23"/>
        </w:rPr>
      </w:pPr>
    </w:p>
    <w:p w14:paraId="3E22980F" w14:textId="760D6AD1" w:rsidR="00950D9C" w:rsidRDefault="00950D9C" w:rsidP="00950D9C">
      <w:pPr>
        <w:pStyle w:val="BodyText"/>
        <w:ind w:left="220" w:right="221"/>
        <w:jc w:val="both"/>
      </w:pPr>
      <w:r>
        <w:t>In line with</w:t>
      </w:r>
      <w:r w:rsidRPr="00125396">
        <w:t xml:space="preserve"> </w:t>
      </w:r>
      <w:hyperlink r:id="rId32" w:history="1">
        <w:r w:rsidRPr="00125396">
          <w:rPr>
            <w:rStyle w:val="Hyperlink"/>
            <w:color w:val="1903ED"/>
          </w:rPr>
          <w:t>NHS England guidance on items which should not routinely be prescribed in primary care;</w:t>
        </w:r>
      </w:hyperlink>
      <w:r w:rsidRPr="00125396">
        <w:rPr>
          <w:color w:val="1903ED"/>
        </w:rPr>
        <w:t xml:space="preserve"> </w:t>
      </w:r>
      <w:r>
        <w:t xml:space="preserve">probiotics should not be prescribed due to limited evidence of clinical effectiveness. Examples include </w:t>
      </w:r>
      <w:proofErr w:type="spellStart"/>
      <w:r>
        <w:t>Symprove</w:t>
      </w:r>
      <w:proofErr w:type="spellEnd"/>
      <w:r w:rsidR="005F4B2A">
        <w:t>®</w:t>
      </w:r>
      <w:r>
        <w:t xml:space="preserve">, </w:t>
      </w:r>
      <w:proofErr w:type="spellStart"/>
      <w:r>
        <w:t>Alflorex</w:t>
      </w:r>
      <w:proofErr w:type="spellEnd"/>
      <w:r w:rsidR="005F4B2A">
        <w:t>®</w:t>
      </w:r>
      <w:r>
        <w:t>, VSL#3</w:t>
      </w:r>
      <w:r w:rsidR="005F4B2A">
        <w:t>®</w:t>
      </w:r>
      <w:r>
        <w:t xml:space="preserve"> and </w:t>
      </w:r>
      <w:proofErr w:type="spellStart"/>
      <w:r>
        <w:t>Vivomixx</w:t>
      </w:r>
      <w:proofErr w:type="spellEnd"/>
      <w:r w:rsidR="005F4B2A">
        <w:t>®</w:t>
      </w:r>
      <w:r>
        <w:t>.</w:t>
      </w:r>
    </w:p>
    <w:p w14:paraId="50304AFE" w14:textId="77777777" w:rsidR="00950D9C" w:rsidRDefault="00950D9C" w:rsidP="00950D9C">
      <w:pPr>
        <w:pStyle w:val="BodyText"/>
      </w:pPr>
    </w:p>
    <w:p w14:paraId="67B9E06A" w14:textId="6B35EC45" w:rsidR="00950D9C" w:rsidRDefault="00950D9C" w:rsidP="00950D9C">
      <w:pPr>
        <w:pStyle w:val="BodyText"/>
        <w:ind w:left="220" w:right="478"/>
      </w:pPr>
      <w:r>
        <w:t xml:space="preserve">The Advisory Committee for Borderline Substances </w:t>
      </w:r>
      <w:r w:rsidR="005F4B2A">
        <w:t xml:space="preserve">(ACBS) </w:t>
      </w:r>
      <w:r>
        <w:t>recently reviewed products VSL#3</w:t>
      </w:r>
      <w:r w:rsidR="001139E9">
        <w:t>®</w:t>
      </w:r>
      <w:r>
        <w:t xml:space="preserve"> and </w:t>
      </w:r>
      <w:proofErr w:type="spellStart"/>
      <w:r>
        <w:t>Vivomixx</w:t>
      </w:r>
      <w:proofErr w:type="spellEnd"/>
      <w:r w:rsidR="001139E9">
        <w:t>®</w:t>
      </w:r>
      <w:r>
        <w:t xml:space="preserve"> for continued inclusion in Part XV of the Drug Tariff. The Committee concluded that the evidence did not sufficiently demonstrate that the products are clinically effective</w:t>
      </w:r>
      <w:r w:rsidR="007664B0">
        <w:rPr>
          <w:vertAlign w:val="superscript"/>
        </w:rPr>
        <w:t>6</w:t>
      </w:r>
      <w:r>
        <w:t>. On this basis, both products have been removed.</w:t>
      </w:r>
    </w:p>
    <w:p w14:paraId="60E34328" w14:textId="77777777" w:rsidR="00950D9C" w:rsidRDefault="00950D9C" w:rsidP="00950D9C">
      <w:pPr>
        <w:pStyle w:val="BodyText"/>
      </w:pPr>
    </w:p>
    <w:p w14:paraId="09945104" w14:textId="77777777" w:rsidR="00950D9C" w:rsidRDefault="00950D9C" w:rsidP="00950D9C">
      <w:pPr>
        <w:pStyle w:val="BodyText"/>
        <w:ind w:left="219" w:right="585"/>
      </w:pPr>
      <w:r>
        <w:t>Patients established on probiotics should be reviewed with a view to having these supplements stopped.</w:t>
      </w:r>
    </w:p>
    <w:p w14:paraId="34413CAD" w14:textId="77777777" w:rsidR="007C7759" w:rsidRDefault="007C7759" w:rsidP="00950D9C">
      <w:pPr>
        <w:pStyle w:val="BodyText"/>
        <w:ind w:left="219" w:right="585"/>
      </w:pPr>
    </w:p>
    <w:p w14:paraId="5E879A5F" w14:textId="77777777" w:rsidR="00950D9C" w:rsidRDefault="00950D9C" w:rsidP="00950D9C">
      <w:pPr>
        <w:pStyle w:val="Heading1"/>
        <w:numPr>
          <w:ilvl w:val="0"/>
          <w:numId w:val="3"/>
        </w:numPr>
        <w:tabs>
          <w:tab w:val="left" w:pos="580"/>
        </w:tabs>
        <w:spacing w:before="82"/>
      </w:pPr>
      <w:r>
        <w:t>Can herbal and homeopathic items still be prescribed on</w:t>
      </w:r>
      <w:r>
        <w:rPr>
          <w:spacing w:val="-18"/>
        </w:rPr>
        <w:t xml:space="preserve"> </w:t>
      </w:r>
      <w:r>
        <w:t>prescription?</w:t>
      </w:r>
    </w:p>
    <w:p w14:paraId="133A0B80" w14:textId="77777777" w:rsidR="00950D9C" w:rsidRDefault="00950D9C" w:rsidP="00950D9C">
      <w:pPr>
        <w:pStyle w:val="BodyText"/>
        <w:rPr>
          <w:b/>
        </w:rPr>
      </w:pPr>
    </w:p>
    <w:p w14:paraId="34D7F0F0" w14:textId="09772841" w:rsidR="00950D9C" w:rsidRDefault="00950D9C" w:rsidP="00950D9C">
      <w:pPr>
        <w:pStyle w:val="BodyText"/>
        <w:ind w:left="220" w:right="425"/>
      </w:pPr>
      <w:r>
        <w:t xml:space="preserve">A review conducted by the </w:t>
      </w:r>
      <w:hyperlink r:id="rId33" w:history="1">
        <w:hyperlink r:id="rId34" w:history="1">
          <w:r w:rsidRPr="0088113B">
            <w:rPr>
              <w:rStyle w:val="Hyperlink"/>
              <w:color w:val="1903ED"/>
            </w:rPr>
            <w:t>Specialist Pharmacy Service</w:t>
          </w:r>
        </w:hyperlink>
      </w:hyperlink>
      <w:r>
        <w:t xml:space="preserve"> at the request of NHS England, found that there was no clear or robust evidence to support the use of homeopathy on the NHS. Therefore</w:t>
      </w:r>
      <w:r w:rsidR="00BB5F7C">
        <w:t>,</w:t>
      </w:r>
      <w:r>
        <w:t xml:space="preserve"> NHS England recommends prescribers should not initiate homeopathic items for any new patients.</w:t>
      </w:r>
    </w:p>
    <w:p w14:paraId="5B42ECF2" w14:textId="77777777" w:rsidR="00950D9C" w:rsidRDefault="00950D9C" w:rsidP="00950D9C">
      <w:pPr>
        <w:pStyle w:val="BodyText"/>
      </w:pPr>
    </w:p>
    <w:p w14:paraId="3188DDE0" w14:textId="77777777" w:rsidR="00950D9C" w:rsidRDefault="00950D9C" w:rsidP="00950D9C">
      <w:pPr>
        <w:pStyle w:val="BodyText"/>
        <w:ind w:left="220" w:right="532"/>
      </w:pPr>
      <w:r>
        <w:t>Due to the lack of scientific evidence required to register herbal products with the Medicines and Healthcare products Regulatory Agency (MHRA), NHS England recommends that prescribers should not initiate herbal items for any new patients.</w:t>
      </w:r>
    </w:p>
    <w:p w14:paraId="6AB4ABAB" w14:textId="77777777" w:rsidR="00950D9C" w:rsidRDefault="00950D9C" w:rsidP="00950D9C">
      <w:pPr>
        <w:pStyle w:val="BodyText"/>
      </w:pPr>
    </w:p>
    <w:p w14:paraId="302AC266" w14:textId="77777777" w:rsidR="00950D9C" w:rsidRDefault="00950D9C" w:rsidP="00950D9C">
      <w:pPr>
        <w:pStyle w:val="BodyText"/>
        <w:ind w:left="220" w:right="706"/>
      </w:pPr>
      <w:r>
        <w:t>Prescribers should review patients currently prescribed either of these items and consider deprescribing.</w:t>
      </w:r>
    </w:p>
    <w:p w14:paraId="73707F85" w14:textId="77777777" w:rsidR="00950D9C" w:rsidRDefault="00950D9C" w:rsidP="00950D9C">
      <w:pPr>
        <w:pStyle w:val="BodyText"/>
        <w:rPr>
          <w:sz w:val="26"/>
        </w:rPr>
      </w:pPr>
    </w:p>
    <w:p w14:paraId="3DD9018F" w14:textId="77777777" w:rsidR="00950D9C" w:rsidRDefault="00950D9C" w:rsidP="00950D9C">
      <w:pPr>
        <w:pStyle w:val="BodyText"/>
        <w:rPr>
          <w:sz w:val="22"/>
        </w:rPr>
      </w:pPr>
    </w:p>
    <w:p w14:paraId="491DA8AF" w14:textId="77777777" w:rsidR="00950D9C" w:rsidRDefault="00950D9C" w:rsidP="00950D9C">
      <w:pPr>
        <w:pStyle w:val="Heading1"/>
        <w:numPr>
          <w:ilvl w:val="0"/>
          <w:numId w:val="3"/>
        </w:numPr>
        <w:tabs>
          <w:tab w:val="left" w:pos="580"/>
        </w:tabs>
      </w:pPr>
      <w:r>
        <w:t>Where can I find further information about</w:t>
      </w:r>
      <w:r>
        <w:rPr>
          <w:spacing w:val="-7"/>
        </w:rPr>
        <w:t xml:space="preserve"> </w:t>
      </w:r>
      <w:r>
        <w:t>self-care?</w:t>
      </w:r>
    </w:p>
    <w:p w14:paraId="11DD2455" w14:textId="77777777" w:rsidR="00950D9C" w:rsidRDefault="00950D9C" w:rsidP="00950D9C">
      <w:pPr>
        <w:pStyle w:val="BodyText"/>
        <w:rPr>
          <w:b/>
        </w:rPr>
      </w:pPr>
    </w:p>
    <w:p w14:paraId="5A70C564" w14:textId="0EC7BCBF" w:rsidR="004151C0" w:rsidRDefault="00950D9C" w:rsidP="0088113B">
      <w:pPr>
        <w:pStyle w:val="BodyText"/>
        <w:ind w:right="246"/>
        <w:rPr>
          <w:color w:val="1903ED"/>
        </w:rPr>
      </w:pPr>
      <w:r w:rsidRPr="0088113B">
        <w:t xml:space="preserve">Further information is available from community pharmacists, </w:t>
      </w:r>
      <w:r w:rsidR="00D20658">
        <w:t xml:space="preserve">the </w:t>
      </w:r>
      <w:r w:rsidRPr="0088113B">
        <w:t xml:space="preserve">NHS </w:t>
      </w:r>
      <w:hyperlink r:id="rId35">
        <w:r w:rsidRPr="0088113B">
          <w:rPr>
            <w:color w:val="0000FF"/>
            <w:u w:val="single" w:color="0000FF"/>
          </w:rPr>
          <w:t>website</w:t>
        </w:r>
      </w:hyperlink>
      <w:r w:rsidRPr="0088113B">
        <w:t xml:space="preserve">, </w:t>
      </w:r>
      <w:hyperlink r:id="rId36" w:history="1">
        <w:r w:rsidR="004151C0" w:rsidRPr="0088113B">
          <w:rPr>
            <w:rStyle w:val="Hyperlink"/>
            <w:color w:val="1903ED"/>
          </w:rPr>
          <w:t xml:space="preserve">SEL ICB </w:t>
        </w:r>
        <w:r w:rsidRPr="0088113B">
          <w:rPr>
            <w:rStyle w:val="Hyperlink"/>
            <w:color w:val="1903ED"/>
          </w:rPr>
          <w:t>website</w:t>
        </w:r>
      </w:hyperlink>
      <w:r w:rsidRPr="0088113B">
        <w:t xml:space="preserve"> and the </w:t>
      </w:r>
      <w:r w:rsidR="004151C0" w:rsidRPr="0088113B">
        <w:t>SEL</w:t>
      </w:r>
      <w:r w:rsidR="005F4B2A" w:rsidRPr="0088113B">
        <w:t xml:space="preserve"> </w:t>
      </w:r>
      <w:r w:rsidR="004151C0" w:rsidRPr="0088113B">
        <w:t>IMOC</w:t>
      </w:r>
      <w:r w:rsidR="00D20658">
        <w:t xml:space="preserve"> </w:t>
      </w:r>
      <w:hyperlink r:id="rId37" w:history="1">
        <w:r w:rsidR="00D20658" w:rsidRPr="0069728C">
          <w:rPr>
            <w:color w:val="0000FF"/>
            <w:u w:val="single"/>
          </w:rPr>
          <w:t>website</w:t>
        </w:r>
      </w:hyperlink>
      <w:r w:rsidR="00B5331F">
        <w:t xml:space="preserve"> </w:t>
      </w:r>
      <w:r w:rsidR="00D20658">
        <w:t xml:space="preserve">where </w:t>
      </w:r>
      <w:r w:rsidR="00B5331F">
        <w:t>electronic copies of the</w:t>
      </w:r>
      <w:r w:rsidR="0088113B">
        <w:t xml:space="preserve"> </w:t>
      </w:r>
      <w:hyperlink r:id="rId38" w:history="1">
        <w:r w:rsidR="00125396" w:rsidRPr="00B5331F">
          <w:t xml:space="preserve">South East London </w:t>
        </w:r>
        <w:r w:rsidR="00125396" w:rsidRPr="0069728C">
          <w:rPr>
            <w:color w:val="0000FF"/>
            <w:u w:val="single"/>
          </w:rPr>
          <w:t>s</w:t>
        </w:r>
        <w:r w:rsidR="004151C0" w:rsidRPr="0069728C">
          <w:rPr>
            <w:color w:val="0000FF"/>
            <w:u w:val="single"/>
          </w:rPr>
          <w:t>elf-care leaflet</w:t>
        </w:r>
      </w:hyperlink>
      <w:r w:rsidR="0088113B" w:rsidRPr="00B5331F">
        <w:t xml:space="preserve"> and </w:t>
      </w:r>
      <w:hyperlink r:id="rId39" w:history="1">
        <w:r w:rsidR="00B5331F" w:rsidRPr="0069728C">
          <w:rPr>
            <w:color w:val="0000FF"/>
            <w:u w:val="single"/>
          </w:rPr>
          <w:t>poster</w:t>
        </w:r>
      </w:hyperlink>
      <w:r w:rsidR="00B5331F" w:rsidRPr="0069728C">
        <w:rPr>
          <w:color w:val="0000FF"/>
          <w:u w:val="single"/>
        </w:rPr>
        <w:t xml:space="preserve"> </w:t>
      </w:r>
      <w:r w:rsidR="00B5331F" w:rsidRPr="00B5331F">
        <w:t>are available.</w:t>
      </w:r>
      <w:r w:rsidR="00B5331F">
        <w:rPr>
          <w:rStyle w:val="Hyperlink"/>
          <w:color w:val="1903ED"/>
        </w:rPr>
        <w:t xml:space="preserve"> </w:t>
      </w:r>
    </w:p>
    <w:p w14:paraId="315599E0" w14:textId="77777777" w:rsidR="00244BC2" w:rsidRDefault="00244BC2" w:rsidP="00244BC2">
      <w:pPr>
        <w:pStyle w:val="BodyText"/>
        <w:ind w:right="246"/>
        <w:rPr>
          <w:color w:val="1903ED"/>
        </w:rPr>
      </w:pPr>
    </w:p>
    <w:p w14:paraId="46BF128B" w14:textId="577324AB" w:rsidR="006A5FE5" w:rsidRPr="0088113B" w:rsidRDefault="00437D2D" w:rsidP="00244BC2">
      <w:pPr>
        <w:pStyle w:val="BodyText"/>
        <w:ind w:right="246"/>
        <w:rPr>
          <w:color w:val="1903ED"/>
        </w:rPr>
      </w:pPr>
      <w:r w:rsidRPr="00E67AF5">
        <w:rPr>
          <w:sz w:val="26"/>
        </w:rPr>
        <w:t>In line with NHSE guidance, a</w:t>
      </w:r>
      <w:r w:rsidR="006A689E" w:rsidRPr="00E67AF5">
        <w:rPr>
          <w:sz w:val="26"/>
        </w:rPr>
        <w:t>ll SEL boroughs include a</w:t>
      </w:r>
      <w:r w:rsidR="00365D2E" w:rsidRPr="00E67AF5">
        <w:rPr>
          <w:sz w:val="26"/>
        </w:rPr>
        <w:t xml:space="preserve"> core</w:t>
      </w:r>
      <w:r w:rsidR="006A689E" w:rsidRPr="00E67AF5">
        <w:rPr>
          <w:sz w:val="26"/>
        </w:rPr>
        <w:t xml:space="preserve"> list </w:t>
      </w:r>
      <w:r w:rsidR="005343BC" w:rsidRPr="00E67AF5">
        <w:rPr>
          <w:sz w:val="26"/>
        </w:rPr>
        <w:t>of</w:t>
      </w:r>
      <w:r w:rsidR="005343BC">
        <w:rPr>
          <w:color w:val="1903ED"/>
        </w:rPr>
        <w:t xml:space="preserve"> </w:t>
      </w:r>
      <w:r w:rsidR="00E67AF5" w:rsidRPr="006A5FE5">
        <w:rPr>
          <w:sz w:val="26"/>
        </w:rPr>
        <w:t>self-care</w:t>
      </w:r>
      <w:r w:rsidR="004E7342" w:rsidRPr="006A5FE5">
        <w:rPr>
          <w:sz w:val="26"/>
        </w:rPr>
        <w:t xml:space="preserve"> conditions</w:t>
      </w:r>
      <w:r w:rsidR="00116021">
        <w:rPr>
          <w:sz w:val="26"/>
        </w:rPr>
        <w:t xml:space="preserve"> which are highlighted in the resources above</w:t>
      </w:r>
      <w:r w:rsidR="004E7342">
        <w:rPr>
          <w:sz w:val="26"/>
        </w:rPr>
        <w:t xml:space="preserve">. Additional </w:t>
      </w:r>
      <w:r w:rsidR="00DB6395">
        <w:rPr>
          <w:sz w:val="26"/>
        </w:rPr>
        <w:t>borough</w:t>
      </w:r>
      <w:r w:rsidR="004E7342">
        <w:rPr>
          <w:sz w:val="26"/>
        </w:rPr>
        <w:t xml:space="preserve"> specific information can be found here:</w:t>
      </w:r>
    </w:p>
    <w:p w14:paraId="38B79E87" w14:textId="478611E7" w:rsidR="00116021" w:rsidRPr="00C547A1" w:rsidRDefault="00D17A54" w:rsidP="00116021">
      <w:pPr>
        <w:pStyle w:val="BodyText"/>
        <w:numPr>
          <w:ilvl w:val="0"/>
          <w:numId w:val="6"/>
        </w:numPr>
        <w:ind w:right="246"/>
        <w:rPr>
          <w:color w:val="1903ED"/>
        </w:rPr>
      </w:pPr>
      <w:hyperlink r:id="rId40" w:history="1">
        <w:r w:rsidR="00116021" w:rsidRPr="0094224A">
          <w:rPr>
            <w:rStyle w:val="Hyperlink"/>
          </w:rPr>
          <w:t>Bexley</w:t>
        </w:r>
      </w:hyperlink>
    </w:p>
    <w:p w14:paraId="20414D37" w14:textId="1C7A78FE" w:rsidR="00116021" w:rsidRPr="00C547A1" w:rsidRDefault="00D17A54" w:rsidP="00116021">
      <w:pPr>
        <w:pStyle w:val="BodyText"/>
        <w:numPr>
          <w:ilvl w:val="0"/>
          <w:numId w:val="6"/>
        </w:numPr>
        <w:ind w:right="246"/>
        <w:rPr>
          <w:color w:val="1903ED"/>
        </w:rPr>
      </w:pPr>
      <w:hyperlink r:id="rId41" w:history="1">
        <w:r w:rsidR="00116021" w:rsidRPr="00136C08">
          <w:rPr>
            <w:rStyle w:val="Hyperlink"/>
          </w:rPr>
          <w:t>Bromley</w:t>
        </w:r>
      </w:hyperlink>
    </w:p>
    <w:p w14:paraId="546459E4" w14:textId="27C41B4B" w:rsidR="00116021" w:rsidRPr="00C547A1" w:rsidRDefault="00D17A54" w:rsidP="00116021">
      <w:pPr>
        <w:pStyle w:val="BodyText"/>
        <w:numPr>
          <w:ilvl w:val="0"/>
          <w:numId w:val="6"/>
        </w:numPr>
        <w:ind w:right="246"/>
        <w:rPr>
          <w:color w:val="1903ED"/>
        </w:rPr>
      </w:pPr>
      <w:hyperlink r:id="rId42" w:history="1">
        <w:r w:rsidR="00116021" w:rsidRPr="00FD4A31">
          <w:rPr>
            <w:rStyle w:val="Hyperlink"/>
          </w:rPr>
          <w:t>Greenwich</w:t>
        </w:r>
      </w:hyperlink>
    </w:p>
    <w:p w14:paraId="02BA095C" w14:textId="05463110" w:rsidR="00116021" w:rsidRPr="00C547A1" w:rsidRDefault="00D17A54" w:rsidP="00116021">
      <w:pPr>
        <w:pStyle w:val="BodyText"/>
        <w:numPr>
          <w:ilvl w:val="0"/>
          <w:numId w:val="6"/>
        </w:numPr>
        <w:ind w:right="246"/>
        <w:rPr>
          <w:color w:val="1903ED"/>
        </w:rPr>
      </w:pPr>
      <w:hyperlink r:id="rId43" w:history="1">
        <w:r w:rsidR="00116021" w:rsidRPr="00FD4A31">
          <w:rPr>
            <w:rStyle w:val="Hyperlink"/>
          </w:rPr>
          <w:t>Lambeth</w:t>
        </w:r>
      </w:hyperlink>
    </w:p>
    <w:p w14:paraId="426FD5D4" w14:textId="7CFF30E1" w:rsidR="00116021" w:rsidRPr="00C547A1" w:rsidRDefault="00D17A54" w:rsidP="00116021">
      <w:pPr>
        <w:pStyle w:val="BodyText"/>
        <w:numPr>
          <w:ilvl w:val="0"/>
          <w:numId w:val="6"/>
        </w:numPr>
        <w:ind w:right="246"/>
        <w:rPr>
          <w:color w:val="1903ED"/>
        </w:rPr>
      </w:pPr>
      <w:hyperlink r:id="rId44" w:history="1">
        <w:proofErr w:type="spellStart"/>
        <w:r w:rsidR="00116021" w:rsidRPr="00456915">
          <w:rPr>
            <w:rStyle w:val="Hyperlink"/>
          </w:rPr>
          <w:t>Lewisham</w:t>
        </w:r>
        <w:proofErr w:type="spellEnd"/>
      </w:hyperlink>
    </w:p>
    <w:p w14:paraId="7032A175" w14:textId="13BBD08D" w:rsidR="004E7342" w:rsidRPr="00C547A1" w:rsidRDefault="00D17A54" w:rsidP="00116021">
      <w:pPr>
        <w:pStyle w:val="BodyText"/>
        <w:numPr>
          <w:ilvl w:val="0"/>
          <w:numId w:val="6"/>
        </w:numPr>
        <w:ind w:right="246"/>
        <w:rPr>
          <w:color w:val="1903ED"/>
        </w:rPr>
      </w:pPr>
      <w:hyperlink r:id="rId45" w:history="1">
        <w:r w:rsidR="004E7342" w:rsidRPr="00321F6F">
          <w:rPr>
            <w:rStyle w:val="Hyperlink"/>
          </w:rPr>
          <w:t>Southwark</w:t>
        </w:r>
      </w:hyperlink>
    </w:p>
    <w:p w14:paraId="0C3AC9AD" w14:textId="77777777" w:rsidR="00211B0E" w:rsidRDefault="00211B0E" w:rsidP="00211B0E">
      <w:pPr>
        <w:pStyle w:val="BodyText"/>
        <w:ind w:right="246"/>
        <w:rPr>
          <w:color w:val="1903ED"/>
        </w:rPr>
      </w:pPr>
    </w:p>
    <w:p w14:paraId="05C0DCCE" w14:textId="77777777" w:rsidR="00950D9C" w:rsidRDefault="00950D9C" w:rsidP="00950D9C">
      <w:pPr>
        <w:pStyle w:val="BodyText"/>
        <w:rPr>
          <w:i/>
          <w:iCs/>
        </w:rPr>
      </w:pPr>
    </w:p>
    <w:p w14:paraId="01587327" w14:textId="77777777" w:rsidR="00C547A1" w:rsidRDefault="00C547A1" w:rsidP="00950D9C">
      <w:pPr>
        <w:pStyle w:val="BodyText"/>
        <w:rPr>
          <w:i/>
          <w:iCs/>
        </w:rPr>
      </w:pPr>
    </w:p>
    <w:p w14:paraId="57901020" w14:textId="77777777" w:rsidR="00C547A1" w:rsidRDefault="00C547A1" w:rsidP="00950D9C">
      <w:pPr>
        <w:pStyle w:val="BodyText"/>
        <w:rPr>
          <w:i/>
          <w:iCs/>
        </w:rPr>
      </w:pPr>
    </w:p>
    <w:p w14:paraId="1CB85379" w14:textId="77777777" w:rsidR="00C547A1" w:rsidRDefault="00C547A1" w:rsidP="00950D9C">
      <w:pPr>
        <w:pStyle w:val="BodyText"/>
        <w:rPr>
          <w:sz w:val="22"/>
        </w:rPr>
      </w:pPr>
    </w:p>
    <w:p w14:paraId="3C12A56A" w14:textId="77777777" w:rsidR="00950D9C" w:rsidRDefault="00950D9C" w:rsidP="00950D9C">
      <w:pPr>
        <w:pStyle w:val="Heading1"/>
        <w:numPr>
          <w:ilvl w:val="0"/>
          <w:numId w:val="3"/>
        </w:numPr>
        <w:tabs>
          <w:tab w:val="left" w:pos="580"/>
        </w:tabs>
        <w:ind w:right="534"/>
      </w:pPr>
      <w:r>
        <w:lastRenderedPageBreak/>
        <w:t>Where can I find further guidance as a GP related to OTC prescribing and the GP</w:t>
      </w:r>
      <w:r>
        <w:rPr>
          <w:spacing w:val="1"/>
        </w:rPr>
        <w:t xml:space="preserve"> </w:t>
      </w:r>
      <w:r>
        <w:t>contract?</w:t>
      </w:r>
    </w:p>
    <w:p w14:paraId="32609A17" w14:textId="77777777" w:rsidR="00950D9C" w:rsidRDefault="00950D9C" w:rsidP="00950D9C">
      <w:pPr>
        <w:pStyle w:val="BodyText"/>
        <w:rPr>
          <w:b/>
        </w:rPr>
      </w:pPr>
    </w:p>
    <w:p w14:paraId="3F04423E" w14:textId="5A10BCDB" w:rsidR="00950D9C" w:rsidRDefault="00EF6D85" w:rsidP="00950D9C">
      <w:pPr>
        <w:pStyle w:val="BodyText"/>
        <w:ind w:left="220" w:right="466"/>
      </w:pPr>
      <w:r>
        <w:t xml:space="preserve">In 2019 </w:t>
      </w:r>
      <w:r w:rsidR="00950D9C">
        <w:t xml:space="preserve">NHSE </w:t>
      </w:r>
      <w:r>
        <w:t>wrote</w:t>
      </w:r>
      <w:r w:rsidR="00950D9C">
        <w:t xml:space="preserve"> to</w:t>
      </w:r>
      <w:r w:rsidR="00BB5F7C">
        <w:t xml:space="preserve"> </w:t>
      </w:r>
      <w:r>
        <w:t>all CCGs</w:t>
      </w:r>
      <w:r w:rsidR="00950D9C">
        <w:t xml:space="preserve"> to clarify that GPs won’t be in breach of their contract if they follow the NHSE OTC guidance. A copy of the letter can be found </w:t>
      </w:r>
      <w:hyperlink r:id="rId46">
        <w:r w:rsidR="00950D9C">
          <w:rPr>
            <w:color w:val="0000FF"/>
            <w:u w:val="single" w:color="0000FF"/>
          </w:rPr>
          <w:t>here</w:t>
        </w:r>
      </w:hyperlink>
      <w:r w:rsidR="00950D9C">
        <w:t>.</w:t>
      </w:r>
    </w:p>
    <w:p w14:paraId="48EC74CA" w14:textId="77777777" w:rsidR="007664B0" w:rsidRDefault="007664B0" w:rsidP="00950D9C">
      <w:pPr>
        <w:pStyle w:val="BodyText"/>
        <w:ind w:left="220" w:right="466"/>
      </w:pPr>
    </w:p>
    <w:p w14:paraId="163CA23B" w14:textId="77777777" w:rsidR="00950D9C" w:rsidRDefault="00950D9C" w:rsidP="00950D9C">
      <w:pPr>
        <w:pStyle w:val="Heading1"/>
        <w:numPr>
          <w:ilvl w:val="0"/>
          <w:numId w:val="3"/>
        </w:numPr>
        <w:tabs>
          <w:tab w:val="left" w:pos="580"/>
        </w:tabs>
        <w:spacing w:before="82"/>
      </w:pPr>
      <w:r>
        <w:t>Is the list of conditions in the NHS England guidance</w:t>
      </w:r>
      <w:r>
        <w:rPr>
          <w:spacing w:val="-9"/>
        </w:rPr>
        <w:t xml:space="preserve"> </w:t>
      </w:r>
      <w:r>
        <w:t>exhaustive?</w:t>
      </w:r>
    </w:p>
    <w:p w14:paraId="63F53EEA" w14:textId="45C744F8" w:rsidR="007C7759" w:rsidRDefault="00950D9C" w:rsidP="007C7759">
      <w:pPr>
        <w:pStyle w:val="BodyText"/>
        <w:ind w:left="220" w:right="825"/>
      </w:pPr>
      <w:r>
        <w:t>This list of conditions is not exhaustive. A healthcare professional may advise a patient to buy an item over the counter when it is appropriate for the patient to manage their minor/self-limiting condition through self-care and without a prescription.</w:t>
      </w:r>
    </w:p>
    <w:p w14:paraId="752A8AF3" w14:textId="4F991844" w:rsidR="00950D9C" w:rsidRPr="007C7759" w:rsidRDefault="00950D9C" w:rsidP="007C7759">
      <w:pPr>
        <w:pStyle w:val="BodyText"/>
        <w:spacing w:before="232"/>
        <w:ind w:left="220"/>
        <w:rPr>
          <w:b/>
          <w:bCs/>
        </w:rPr>
      </w:pPr>
      <w:r w:rsidRPr="007C7759">
        <w:rPr>
          <w:b/>
          <w:bCs/>
        </w:rPr>
        <w:t>Acknowledgements</w:t>
      </w:r>
      <w:r w:rsidR="007C7759">
        <w:rPr>
          <w:b/>
          <w:bCs/>
        </w:rPr>
        <w:t>:</w:t>
      </w:r>
      <w:bookmarkStart w:id="5" w:name="Adapted_from_a_document_developed_by_NHS"/>
      <w:bookmarkEnd w:id="5"/>
      <w:r w:rsidR="007C7759">
        <w:rPr>
          <w:b/>
          <w:bCs/>
        </w:rPr>
        <w:t xml:space="preserve"> </w:t>
      </w:r>
      <w:r w:rsidRPr="007C7759">
        <w:rPr>
          <w:bCs/>
          <w:i/>
        </w:rPr>
        <w:t xml:space="preserve">Adapted from a document developed by NHS Greenwich and NHS Southwark </w:t>
      </w:r>
      <w:r w:rsidR="007664B0" w:rsidRPr="007C7759">
        <w:rPr>
          <w:bCs/>
          <w:i/>
        </w:rPr>
        <w:t>Medicine Management Teams</w:t>
      </w:r>
      <w:r w:rsidRPr="007C7759">
        <w:rPr>
          <w:bCs/>
          <w:i/>
        </w:rPr>
        <w:t>. Thanks to all SE London Medicines Management</w:t>
      </w:r>
      <w:r w:rsidR="007C7759">
        <w:rPr>
          <w:bCs/>
          <w:i/>
        </w:rPr>
        <w:t xml:space="preserve"> </w:t>
      </w:r>
      <w:r w:rsidRPr="007C7759">
        <w:rPr>
          <w:bCs/>
          <w:i/>
        </w:rPr>
        <w:t>Teams for their input into the creation of this document.</w:t>
      </w:r>
    </w:p>
    <w:p w14:paraId="2CEF09AD" w14:textId="77777777" w:rsidR="00950D9C" w:rsidRDefault="00950D9C" w:rsidP="00950D9C">
      <w:pPr>
        <w:pStyle w:val="BodyText"/>
        <w:spacing w:before="6"/>
        <w:rPr>
          <w:b/>
          <w:i/>
        </w:rPr>
      </w:pPr>
    </w:p>
    <w:p w14:paraId="69530DC8" w14:textId="77777777" w:rsidR="00950D9C" w:rsidRDefault="00950D9C" w:rsidP="00950D9C">
      <w:pPr>
        <w:pStyle w:val="Heading1"/>
        <w:ind w:left="220" w:firstLine="0"/>
      </w:pPr>
      <w:r>
        <w:t>References</w:t>
      </w:r>
    </w:p>
    <w:p w14:paraId="0456BBB8" w14:textId="77777777" w:rsidR="00950D9C" w:rsidRDefault="00950D9C" w:rsidP="00950D9C">
      <w:pPr>
        <w:pStyle w:val="BodyText"/>
        <w:spacing w:before="9"/>
        <w:rPr>
          <w:sz w:val="13"/>
        </w:rPr>
      </w:pPr>
    </w:p>
    <w:p w14:paraId="0E6C37B8" w14:textId="58A86003" w:rsidR="00950D9C" w:rsidRDefault="00950D9C" w:rsidP="00950D9C">
      <w:pPr>
        <w:pStyle w:val="ListParagraph"/>
        <w:numPr>
          <w:ilvl w:val="0"/>
          <w:numId w:val="1"/>
        </w:numPr>
        <w:tabs>
          <w:tab w:val="left" w:pos="580"/>
        </w:tabs>
        <w:spacing w:before="94"/>
        <w:ind w:right="238"/>
      </w:pPr>
      <w:r>
        <w:t>NHS England guidance – People living in care homes – frequently asked questions. Available at:</w:t>
      </w:r>
      <w:r>
        <w:rPr>
          <w:color w:val="0000FF"/>
        </w:rPr>
        <w:t xml:space="preserve"> </w:t>
      </w:r>
      <w:r w:rsidR="00AC0DFB" w:rsidRPr="00AC0DFB">
        <w:rPr>
          <w:color w:val="0000FF"/>
        </w:rPr>
        <w:t>https://www.england.nhs.uk/medicines-2/conditions-for-which-</w:t>
      </w:r>
      <w:r w:rsidR="002E40CC">
        <w:rPr>
          <w:color w:val="0000FF"/>
        </w:rPr>
        <w:t>over the counter</w:t>
      </w:r>
      <w:r w:rsidR="00AC0DFB" w:rsidRPr="00AC0DFB">
        <w:rPr>
          <w:color w:val="0000FF"/>
        </w:rPr>
        <w:t>-items-should-not-routinely-be-prescribed/conditions-for-which-</w:t>
      </w:r>
      <w:r w:rsidR="002E40CC">
        <w:rPr>
          <w:color w:val="0000FF"/>
        </w:rPr>
        <w:t xml:space="preserve">over </w:t>
      </w:r>
      <w:proofErr w:type="spellStart"/>
      <w:r w:rsidR="002E40CC">
        <w:rPr>
          <w:color w:val="0000FF"/>
        </w:rPr>
        <w:t>the</w:t>
      </w:r>
      <w:proofErr w:type="spellEnd"/>
      <w:r w:rsidR="002E40CC">
        <w:rPr>
          <w:color w:val="0000FF"/>
        </w:rPr>
        <w:t xml:space="preserve"> counter</w:t>
      </w:r>
      <w:r w:rsidR="00AC0DFB" w:rsidRPr="00AC0DFB">
        <w:rPr>
          <w:color w:val="0000FF"/>
        </w:rPr>
        <w:t xml:space="preserve">-items-should-not-routinely-be-prescribed-in-primary-care-implementation-resources/faqs/#why-has-the-ics-guidance-been-developed </w:t>
      </w:r>
      <w:r>
        <w:t>(last accessed</w:t>
      </w:r>
      <w:r>
        <w:rPr>
          <w:spacing w:val="-1"/>
        </w:rPr>
        <w:t xml:space="preserve"> </w:t>
      </w:r>
      <w:r w:rsidR="00AC0DFB">
        <w:t>08.08.2022</w:t>
      </w:r>
      <w:r>
        <w:t>)</w:t>
      </w:r>
    </w:p>
    <w:p w14:paraId="68A25852" w14:textId="77777777" w:rsidR="00950D9C" w:rsidRDefault="00950D9C" w:rsidP="00950D9C">
      <w:pPr>
        <w:pStyle w:val="BodyText"/>
        <w:spacing w:before="1"/>
        <w:rPr>
          <w:sz w:val="22"/>
        </w:rPr>
      </w:pPr>
    </w:p>
    <w:p w14:paraId="372330C2" w14:textId="350C8A44" w:rsidR="00950D9C" w:rsidRDefault="00950D9C" w:rsidP="00950D9C">
      <w:pPr>
        <w:pStyle w:val="ListParagraph"/>
        <w:numPr>
          <w:ilvl w:val="0"/>
          <w:numId w:val="1"/>
        </w:numPr>
        <w:tabs>
          <w:tab w:val="left" w:pos="580"/>
        </w:tabs>
        <w:ind w:right="752"/>
      </w:pPr>
      <w:r>
        <w:t>Regional Medicines Optimisation Committee (RMOC) Guidance: Homely Remedies (13.11.18). Available at:</w:t>
      </w:r>
      <w:r>
        <w:rPr>
          <w:color w:val="0000FF"/>
        </w:rPr>
        <w:t xml:space="preserve"> </w:t>
      </w:r>
      <w:hyperlink r:id="rId47">
        <w:r>
          <w:rPr>
            <w:color w:val="0000FF"/>
            <w:u w:val="single" w:color="0000FF"/>
          </w:rPr>
          <w:t>https://www.sps.nhs.uk/articles/rmoc-guidance-homely-</w:t>
        </w:r>
      </w:hyperlink>
      <w:hyperlink r:id="rId48">
        <w:r>
          <w:rPr>
            <w:color w:val="0000FF"/>
            <w:u w:val="single" w:color="0000FF"/>
          </w:rPr>
          <w:t xml:space="preserve"> remedies/</w:t>
        </w:r>
        <w:r>
          <w:rPr>
            <w:color w:val="0000FF"/>
          </w:rPr>
          <w:t xml:space="preserve"> </w:t>
        </w:r>
      </w:hyperlink>
      <w:r>
        <w:t>(last accessed</w:t>
      </w:r>
      <w:r>
        <w:rPr>
          <w:spacing w:val="-1"/>
        </w:rPr>
        <w:t xml:space="preserve"> </w:t>
      </w:r>
      <w:r w:rsidR="00AC0DFB">
        <w:t>08.08.2022</w:t>
      </w:r>
      <w:r>
        <w:t>)</w:t>
      </w:r>
    </w:p>
    <w:p w14:paraId="5C125CB0" w14:textId="77777777" w:rsidR="00950D9C" w:rsidRDefault="00950D9C" w:rsidP="00950D9C">
      <w:pPr>
        <w:pStyle w:val="BodyText"/>
        <w:spacing w:before="9"/>
        <w:rPr>
          <w:sz w:val="13"/>
        </w:rPr>
      </w:pPr>
    </w:p>
    <w:p w14:paraId="477AC073" w14:textId="3A639CF0" w:rsidR="00950D9C" w:rsidRDefault="00950D9C" w:rsidP="00950D9C">
      <w:pPr>
        <w:pStyle w:val="ListParagraph"/>
        <w:numPr>
          <w:ilvl w:val="0"/>
          <w:numId w:val="1"/>
        </w:numPr>
        <w:tabs>
          <w:tab w:val="left" w:pos="580"/>
        </w:tabs>
        <w:spacing w:before="94"/>
        <w:ind w:left="580" w:right="289"/>
      </w:pPr>
      <w:r>
        <w:rPr>
          <w:noProof/>
        </w:rPr>
        <mc:AlternateContent>
          <mc:Choice Requires="wps">
            <w:drawing>
              <wp:anchor distT="0" distB="0" distL="114300" distR="114300" simplePos="0" relativeHeight="251658240" behindDoc="1" locked="0" layoutInCell="1" allowOverlap="1" wp14:anchorId="5F1E53D2" wp14:editId="04E5DFAA">
                <wp:simplePos x="0" y="0"/>
                <wp:positionH relativeFrom="page">
                  <wp:posOffset>5996940</wp:posOffset>
                </wp:positionH>
                <wp:positionV relativeFrom="paragraph">
                  <wp:posOffset>205740</wp:posOffset>
                </wp:positionV>
                <wp:extent cx="39370" cy="10795"/>
                <wp:effectExtent l="0" t="635"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11C7C" id="Rectangle 2" o:spid="_x0000_s1026" style="position:absolute;margin-left:472.2pt;margin-top:16.2pt;width:3.1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" fillcolor="blue" stroked="f">
                <w10:wrap anchorx="page"/>
              </v:rect>
            </w:pict>
          </mc:Fallback>
        </mc:AlternateContent>
      </w:r>
      <w:r>
        <w:t>Public Health England Press release: PHE publishes new advice on vitamin D. Available at:</w:t>
      </w:r>
      <w:r>
        <w:rPr>
          <w:color w:val="0000FF"/>
        </w:rPr>
        <w:t xml:space="preserve"> </w:t>
      </w:r>
      <w:hyperlink r:id="rId49">
        <w:r>
          <w:rPr>
            <w:color w:val="0000FF"/>
            <w:u w:val="single" w:color="0000FF"/>
          </w:rPr>
          <w:t>https://www.gov.uk/government/news/phe-publishes-new-advice-on-vitamin-d</w:t>
        </w:r>
        <w:r>
          <w:rPr>
            <w:color w:val="0000FF"/>
          </w:rPr>
          <w:t xml:space="preserve"> </w:t>
        </w:r>
      </w:hyperlink>
      <w:r>
        <w:t>(last accessed</w:t>
      </w:r>
      <w:r>
        <w:rPr>
          <w:spacing w:val="-1"/>
        </w:rPr>
        <w:t xml:space="preserve"> </w:t>
      </w:r>
      <w:r w:rsidR="00AC0DFB">
        <w:t>08.08.2022</w:t>
      </w:r>
      <w:r>
        <w:t>)</w:t>
      </w:r>
    </w:p>
    <w:p w14:paraId="4B35E6ED" w14:textId="77777777" w:rsidR="00950D9C" w:rsidRDefault="00950D9C" w:rsidP="00950D9C">
      <w:pPr>
        <w:pStyle w:val="BodyText"/>
        <w:rPr>
          <w:sz w:val="22"/>
        </w:rPr>
      </w:pPr>
    </w:p>
    <w:p w14:paraId="6DE8E232" w14:textId="027BD859" w:rsidR="00950D9C" w:rsidRDefault="00950D9C" w:rsidP="00950D9C">
      <w:pPr>
        <w:pStyle w:val="ListParagraph"/>
        <w:numPr>
          <w:ilvl w:val="0"/>
          <w:numId w:val="1"/>
        </w:numPr>
        <w:tabs>
          <w:tab w:val="left" w:pos="580"/>
        </w:tabs>
        <w:ind w:right="1058"/>
      </w:pPr>
      <w:proofErr w:type="spellStart"/>
      <w:r>
        <w:t>PrescQIPP</w:t>
      </w:r>
      <w:proofErr w:type="spellEnd"/>
      <w:r>
        <w:t xml:space="preserve"> briefing 107 multivitamins (August 2015). Available at:</w:t>
      </w:r>
      <w:r>
        <w:rPr>
          <w:color w:val="0000FF"/>
          <w:u w:val="single" w:color="0000FF"/>
        </w:rPr>
        <w:t xml:space="preserve"> </w:t>
      </w:r>
      <w:hyperlink r:id="rId50">
        <w:r>
          <w:rPr>
            <w:color w:val="0000FF"/>
            <w:u w:val="single" w:color="0000FF"/>
          </w:rPr>
          <w:t>https://www.prescqipp.info/media/1735/b107-multivitamins-21.pdf</w:t>
        </w:r>
        <w:r>
          <w:rPr>
            <w:color w:val="0000FF"/>
          </w:rPr>
          <w:t xml:space="preserve"> </w:t>
        </w:r>
      </w:hyperlink>
      <w:r>
        <w:t xml:space="preserve">(last accessed </w:t>
      </w:r>
      <w:r w:rsidR="00AC0DFB">
        <w:t>08.08.2022</w:t>
      </w:r>
      <w:r>
        <w:t>)</w:t>
      </w:r>
    </w:p>
    <w:p w14:paraId="1A3A78AD" w14:textId="77777777" w:rsidR="00950D9C" w:rsidRDefault="00950D9C" w:rsidP="00950D9C">
      <w:pPr>
        <w:pStyle w:val="BodyText"/>
        <w:spacing w:before="1"/>
        <w:rPr>
          <w:sz w:val="22"/>
        </w:rPr>
      </w:pPr>
    </w:p>
    <w:p w14:paraId="50343686" w14:textId="58922C0E" w:rsidR="00950D9C" w:rsidRDefault="00950D9C" w:rsidP="00950D9C">
      <w:pPr>
        <w:pStyle w:val="ListParagraph"/>
        <w:numPr>
          <w:ilvl w:val="0"/>
          <w:numId w:val="1"/>
        </w:numPr>
        <w:tabs>
          <w:tab w:val="left" w:pos="580"/>
        </w:tabs>
        <w:ind w:right="372"/>
      </w:pPr>
      <w:r>
        <w:t>NHS England guidance: Items which should not routinely be prescribed in primary care: Guidance for CCGs. Available at:</w:t>
      </w:r>
      <w:r>
        <w:rPr>
          <w:color w:val="0000FF"/>
        </w:rPr>
        <w:t xml:space="preserve"> </w:t>
      </w:r>
      <w:hyperlink r:id="rId51">
        <w:r>
          <w:rPr>
            <w:color w:val="0000FF"/>
            <w:u w:val="single" w:color="0000FF"/>
          </w:rPr>
          <w:t>https://www.england.nhs.uk/wp-</w:t>
        </w:r>
      </w:hyperlink>
      <w:hyperlink r:id="rId52">
        <w:r>
          <w:rPr>
            <w:color w:val="0000FF"/>
            <w:u w:val="single" w:color="0000FF"/>
          </w:rPr>
          <w:t xml:space="preserve"> content/uploads/2018/03/otc-guidance-for-ccgs.pdf</w:t>
        </w:r>
        <w:r>
          <w:rPr>
            <w:color w:val="0000FF"/>
          </w:rPr>
          <w:t xml:space="preserve"> </w:t>
        </w:r>
      </w:hyperlink>
      <w:r>
        <w:t xml:space="preserve">(last accessed </w:t>
      </w:r>
      <w:r w:rsidR="00AC0DFB">
        <w:t>08.08.2022</w:t>
      </w:r>
      <w:r>
        <w:t>)</w:t>
      </w:r>
    </w:p>
    <w:p w14:paraId="7E1C9CED" w14:textId="77777777" w:rsidR="00950D9C" w:rsidRDefault="00950D9C" w:rsidP="00950D9C">
      <w:pPr>
        <w:pStyle w:val="BodyText"/>
        <w:spacing w:before="11"/>
        <w:rPr>
          <w:sz w:val="21"/>
        </w:rPr>
      </w:pPr>
    </w:p>
    <w:p w14:paraId="2ABD1FAB" w14:textId="4F919A68" w:rsidR="00950D9C" w:rsidRDefault="00950D9C" w:rsidP="00950D9C">
      <w:pPr>
        <w:pStyle w:val="ListParagraph"/>
        <w:numPr>
          <w:ilvl w:val="0"/>
          <w:numId w:val="1"/>
        </w:numPr>
        <w:tabs>
          <w:tab w:val="left" w:pos="580"/>
        </w:tabs>
        <w:ind w:left="580" w:right="288"/>
        <w:rPr>
          <w:sz w:val="24"/>
        </w:rPr>
      </w:pPr>
      <w:r>
        <w:t xml:space="preserve">NICE Medicines Awareness daily news (18.01.19): Probiotics VSL#3 and </w:t>
      </w:r>
      <w:proofErr w:type="spellStart"/>
      <w:r>
        <w:t>Vivomixx</w:t>
      </w:r>
      <w:proofErr w:type="spellEnd"/>
      <w:r>
        <w:t xml:space="preserve"> have been removed from the Drug Tariff, following review by Advisory Committee on Borderline Substances (ACBS). Available at:</w:t>
      </w:r>
      <w:r>
        <w:rPr>
          <w:color w:val="0000FF"/>
          <w:u w:val="single" w:color="0000FF"/>
        </w:rPr>
        <w:t xml:space="preserve"> </w:t>
      </w:r>
      <w:hyperlink r:id="rId53" w:history="1">
        <w:r w:rsidR="00615E77" w:rsidRPr="00615E77">
          <w:rPr>
            <w:rStyle w:val="Hyperlink"/>
            <w:color w:val="1903ED"/>
          </w:rPr>
          <w:t xml:space="preserve">Probiotics VSL#3 and </w:t>
        </w:r>
        <w:proofErr w:type="spellStart"/>
        <w:r w:rsidR="00615E77" w:rsidRPr="00615E77">
          <w:rPr>
            <w:rStyle w:val="Hyperlink"/>
            <w:color w:val="1903ED"/>
          </w:rPr>
          <w:t>Vivomixx</w:t>
        </w:r>
        <w:proofErr w:type="spellEnd"/>
        <w:r w:rsidR="00615E77" w:rsidRPr="00615E77">
          <w:rPr>
            <w:rStyle w:val="Hyperlink"/>
            <w:color w:val="1903ED"/>
          </w:rPr>
          <w:t xml:space="preserve"> have been removed from the Drug Tariff, following review by Advisory Committee on Borderline Substances (ACBS). - (medicinesresources.nhs.uk)</w:t>
        </w:r>
      </w:hyperlink>
      <w:r w:rsidR="00615E77">
        <w:rPr>
          <w:color w:val="0000FF"/>
          <w:u w:val="single" w:color="0000FF"/>
        </w:rPr>
        <w:t xml:space="preserve"> </w:t>
      </w:r>
      <w:r>
        <w:t>(last accessed</w:t>
      </w:r>
      <w:r>
        <w:rPr>
          <w:spacing w:val="-1"/>
        </w:rPr>
        <w:t xml:space="preserve"> </w:t>
      </w:r>
      <w:r w:rsidR="00AC0DFB">
        <w:t>08.08.2022</w:t>
      </w:r>
      <w:r>
        <w:t>)</w:t>
      </w:r>
    </w:p>
    <w:sectPr w:rsidR="00950D9C">
      <w:pgSz w:w="11910" w:h="16840"/>
      <w:pgMar w:top="1340" w:right="1220" w:bottom="1380" w:left="1220" w:header="397" w:footer="11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7071D" w14:textId="77777777" w:rsidR="001607BB" w:rsidRDefault="001607BB" w:rsidP="00950D9C">
      <w:r>
        <w:separator/>
      </w:r>
    </w:p>
  </w:endnote>
  <w:endnote w:type="continuationSeparator" w:id="0">
    <w:p w14:paraId="206E78E9" w14:textId="77777777" w:rsidR="001607BB" w:rsidRDefault="001607BB" w:rsidP="00950D9C">
      <w:r>
        <w:continuationSeparator/>
      </w:r>
    </w:p>
  </w:endnote>
  <w:endnote w:type="continuationNotice" w:id="1">
    <w:p w14:paraId="1E02E873" w14:textId="77777777" w:rsidR="001607BB" w:rsidRDefault="00160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DD7B" w14:textId="1F851C8B" w:rsidR="00172FE4" w:rsidRDefault="00735E19">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4F2944EC" wp14:editId="62A1C0A8">
              <wp:simplePos x="0" y="0"/>
              <wp:positionH relativeFrom="page">
                <wp:posOffset>198672</wp:posOffset>
              </wp:positionH>
              <wp:positionV relativeFrom="page">
                <wp:posOffset>10232721</wp:posOffset>
              </wp:positionV>
              <wp:extent cx="1291287" cy="276225"/>
              <wp:effectExtent l="0" t="0" r="444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287"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4BBF" w14:textId="02004BE6" w:rsidR="00172FE4" w:rsidRPr="00735E19" w:rsidRDefault="00EF6D85">
                          <w:pPr>
                            <w:spacing w:before="15"/>
                            <w:ind w:left="20"/>
                            <w:rPr>
                              <w:rFonts w:asciiTheme="minorHAnsi" w:hAnsiTheme="minorHAnsi" w:cstheme="minorHAnsi"/>
                              <w:b/>
                              <w:sz w:val="16"/>
                            </w:rPr>
                          </w:pPr>
                          <w:r w:rsidRPr="00735E19">
                            <w:rPr>
                              <w:rFonts w:asciiTheme="minorHAnsi" w:hAnsiTheme="minorHAnsi" w:cstheme="minorHAnsi"/>
                              <w:b/>
                              <w:sz w:val="16"/>
                            </w:rPr>
                            <w:t>Ap</w:t>
                          </w:r>
                          <w:r w:rsidR="00950D9C" w:rsidRPr="00735E19">
                            <w:rPr>
                              <w:rFonts w:asciiTheme="minorHAnsi" w:hAnsiTheme="minorHAnsi" w:cstheme="minorHAnsi"/>
                              <w:b/>
                              <w:sz w:val="16"/>
                            </w:rPr>
                            <w:t>p</w:t>
                          </w:r>
                          <w:r w:rsidRPr="00735E19">
                            <w:rPr>
                              <w:rFonts w:asciiTheme="minorHAnsi" w:hAnsiTheme="minorHAnsi" w:cstheme="minorHAnsi"/>
                              <w:b/>
                              <w:sz w:val="16"/>
                            </w:rPr>
                            <w:t xml:space="preserve">roved: </w:t>
                          </w:r>
                          <w:r w:rsidR="00735E19" w:rsidRPr="00735E19">
                            <w:rPr>
                              <w:rFonts w:asciiTheme="minorHAnsi" w:hAnsiTheme="minorHAnsi" w:cstheme="minorHAnsi"/>
                              <w:b/>
                              <w:sz w:val="16"/>
                            </w:rPr>
                            <w:t>September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944EC" id="_x0000_t202" coordsize="21600,21600" o:spt="202" path="m,l,21600r21600,l21600,xe">
              <v:stroke joinstyle="miter"/>
              <v:path gradientshapeok="t" o:connecttype="rect"/>
            </v:shapetype>
            <v:shape id="Text Box 5" o:spid="_x0000_s1026" type="#_x0000_t202" style="position:absolute;margin-left:15.65pt;margin-top:805.75pt;width:101.7pt;height:21.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" filled="f" stroked="f">
              <v:textbox inset="0,0,0,0">
                <w:txbxContent>
                  <w:p w14:paraId="6F544BBF" w14:textId="02004BE6" w:rsidR="00172FE4" w:rsidRPr="00735E19" w:rsidRDefault="00EF6D85">
                    <w:pPr>
                      <w:spacing w:before="15"/>
                      <w:ind w:left="20"/>
                      <w:rPr>
                        <w:rFonts w:asciiTheme="minorHAnsi" w:hAnsiTheme="minorHAnsi" w:cstheme="minorHAnsi"/>
                        <w:b/>
                        <w:sz w:val="16"/>
                      </w:rPr>
                    </w:pPr>
                    <w:r w:rsidRPr="00735E19">
                      <w:rPr>
                        <w:rFonts w:asciiTheme="minorHAnsi" w:hAnsiTheme="minorHAnsi" w:cstheme="minorHAnsi"/>
                        <w:b/>
                        <w:sz w:val="16"/>
                      </w:rPr>
                      <w:t>Ap</w:t>
                    </w:r>
                    <w:r w:rsidR="00950D9C" w:rsidRPr="00735E19">
                      <w:rPr>
                        <w:rFonts w:asciiTheme="minorHAnsi" w:hAnsiTheme="minorHAnsi" w:cstheme="minorHAnsi"/>
                        <w:b/>
                        <w:sz w:val="16"/>
                      </w:rPr>
                      <w:t>p</w:t>
                    </w:r>
                    <w:r w:rsidRPr="00735E19">
                      <w:rPr>
                        <w:rFonts w:asciiTheme="minorHAnsi" w:hAnsiTheme="minorHAnsi" w:cstheme="minorHAnsi"/>
                        <w:b/>
                        <w:sz w:val="16"/>
                      </w:rPr>
                      <w:t xml:space="preserve">roved: </w:t>
                    </w:r>
                    <w:r w:rsidR="00735E19" w:rsidRPr="00735E19">
                      <w:rPr>
                        <w:rFonts w:asciiTheme="minorHAnsi" w:hAnsiTheme="minorHAnsi" w:cstheme="minorHAnsi"/>
                        <w:b/>
                        <w:sz w:val="16"/>
                      </w:rPr>
                      <w:t>September 2022</w:t>
                    </w:r>
                  </w:p>
                </w:txbxContent>
              </v:textbox>
              <w10:wrap anchorx="page" anchory="page"/>
            </v:shape>
          </w:pict>
        </mc:Fallback>
      </mc:AlternateContent>
    </w:r>
    <w:r>
      <w:rPr>
        <w:noProof/>
      </w:rPr>
      <mc:AlternateContent>
        <mc:Choice Requires="wps">
          <w:drawing>
            <wp:anchor distT="0" distB="0" distL="114300" distR="114300" simplePos="0" relativeHeight="251658245" behindDoc="1" locked="0" layoutInCell="1" allowOverlap="1" wp14:anchorId="7D45EA5F" wp14:editId="7C48CB8D">
              <wp:simplePos x="0" y="0"/>
              <wp:positionH relativeFrom="page">
                <wp:posOffset>1904365</wp:posOffset>
              </wp:positionH>
              <wp:positionV relativeFrom="page">
                <wp:posOffset>10253704</wp:posOffset>
              </wp:positionV>
              <wp:extent cx="3606800" cy="12763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4620" w14:textId="77777777" w:rsidR="00172FE4" w:rsidRDefault="00EF6D85">
                          <w:pPr>
                            <w:spacing w:line="184" w:lineRule="exact"/>
                            <w:ind w:left="20"/>
                            <w:rPr>
                              <w:rFonts w:ascii="Calibri"/>
                              <w:b/>
                              <w:sz w:val="16"/>
                            </w:rPr>
                          </w:pPr>
                          <w:r>
                            <w:rPr>
                              <w:rFonts w:ascii="Calibri"/>
                              <w:b/>
                              <w:color w:val="FF0000"/>
                              <w:sz w:val="16"/>
                            </w:rPr>
                            <w:t>Not to be used for commercial or marketing purposes. Strictly for use within the NHS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5EA5F" id="Text Box 4" o:spid="_x0000_s1027" type="#_x0000_t202" style="position:absolute;margin-left:149.95pt;margin-top:807.4pt;width:284pt;height:10.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" filled="f" stroked="f">
              <v:textbox inset="0,0,0,0">
                <w:txbxContent>
                  <w:p w14:paraId="3C764620" w14:textId="77777777" w:rsidR="00172FE4" w:rsidRDefault="00EF6D85">
                    <w:pPr>
                      <w:spacing w:line="184" w:lineRule="exact"/>
                      <w:ind w:left="20"/>
                      <w:rPr>
                        <w:rFonts w:ascii="Calibri"/>
                        <w:b/>
                        <w:sz w:val="16"/>
                      </w:rPr>
                    </w:pPr>
                    <w:r>
                      <w:rPr>
                        <w:rFonts w:ascii="Calibri"/>
                        <w:b/>
                        <w:color w:val="FF0000"/>
                        <w:sz w:val="16"/>
                      </w:rPr>
                      <w:t>Not to be used for commercial or marketing purposes. Strictly for use within the NHS</w:t>
                    </w:r>
                  </w:p>
                </w:txbxContent>
              </v:textbox>
              <w10:wrap anchorx="page" anchory="page"/>
            </v:shape>
          </w:pict>
        </mc:Fallback>
      </mc:AlternateContent>
    </w:r>
    <w:r>
      <w:rPr>
        <w:noProof/>
      </w:rPr>
      <mc:AlternateContent>
        <mc:Choice Requires="wps">
          <w:drawing>
            <wp:anchor distT="0" distB="0" distL="114300" distR="114300" simplePos="0" relativeHeight="251658246" behindDoc="1" locked="0" layoutInCell="1" allowOverlap="1" wp14:anchorId="7E3D3A24" wp14:editId="1D5C3451">
              <wp:simplePos x="0" y="0"/>
              <wp:positionH relativeFrom="page">
                <wp:posOffset>5577730</wp:posOffset>
              </wp:positionH>
              <wp:positionV relativeFrom="page">
                <wp:posOffset>10198238</wp:posOffset>
              </wp:positionV>
              <wp:extent cx="1903730" cy="271145"/>
              <wp:effectExtent l="0" t="0" r="1270"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27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6AF12" w14:textId="602026B5" w:rsidR="00172FE4" w:rsidRDefault="00EF6D85">
                          <w:pPr>
                            <w:spacing w:line="184" w:lineRule="exact"/>
                            <w:ind w:left="20"/>
                            <w:rPr>
                              <w:rFonts w:ascii="Calibri"/>
                              <w:b/>
                              <w:sz w:val="16"/>
                            </w:rPr>
                          </w:pPr>
                          <w:r>
                            <w:rPr>
                              <w:rFonts w:ascii="Calibri"/>
                              <w:b/>
                              <w:sz w:val="16"/>
                            </w:rPr>
                            <w:t xml:space="preserve">Review date: </w:t>
                          </w:r>
                          <w:r w:rsidR="00950D9C">
                            <w:rPr>
                              <w:rFonts w:ascii="Calibri"/>
                              <w:b/>
                              <w:sz w:val="16"/>
                            </w:rPr>
                            <w:t>September</w:t>
                          </w:r>
                          <w:r>
                            <w:rPr>
                              <w:rFonts w:ascii="Calibri"/>
                              <w:b/>
                              <w:sz w:val="16"/>
                            </w:rPr>
                            <w:t xml:space="preserve"> 202</w:t>
                          </w:r>
                          <w:r w:rsidR="00950D9C">
                            <w:rPr>
                              <w:rFonts w:ascii="Calibri"/>
                              <w:b/>
                              <w:sz w:val="16"/>
                            </w:rPr>
                            <w:t>4</w:t>
                          </w:r>
                          <w:r>
                            <w:rPr>
                              <w:rFonts w:ascii="Calibri"/>
                              <w:b/>
                              <w:sz w:val="16"/>
                            </w:rPr>
                            <w:t xml:space="preserve"> (or sooner if</w:t>
                          </w:r>
                        </w:p>
                        <w:p w14:paraId="4B26F74B" w14:textId="5660077B" w:rsidR="00172FE4" w:rsidRDefault="00EF6D85">
                          <w:pPr>
                            <w:spacing w:before="30"/>
                            <w:ind w:left="20"/>
                            <w:rPr>
                              <w:rFonts w:ascii="Calibri"/>
                              <w:b/>
                              <w:sz w:val="16"/>
                            </w:rPr>
                          </w:pPr>
                          <w:r>
                            <w:rPr>
                              <w:rFonts w:ascii="Calibri"/>
                              <w:b/>
                              <w:sz w:val="16"/>
                            </w:rPr>
                            <w:t>evidence or practice changes</w:t>
                          </w:r>
                          <w:r w:rsidR="00950D9C">
                            <w:rPr>
                              <w:rFonts w:ascii="Calibri"/>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3A24" id="Text Box 3" o:spid="_x0000_s1028" type="#_x0000_t202" style="position:absolute;margin-left:439.2pt;margin-top:803pt;width:149.9pt;height:21.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" filled="f" stroked="f">
              <v:textbox inset="0,0,0,0">
                <w:txbxContent>
                  <w:p w14:paraId="1376AF12" w14:textId="602026B5" w:rsidR="00172FE4" w:rsidRDefault="00EF6D85">
                    <w:pPr>
                      <w:spacing w:line="184" w:lineRule="exact"/>
                      <w:ind w:left="20"/>
                      <w:rPr>
                        <w:rFonts w:ascii="Calibri"/>
                        <w:b/>
                        <w:sz w:val="16"/>
                      </w:rPr>
                    </w:pPr>
                    <w:r>
                      <w:rPr>
                        <w:rFonts w:ascii="Calibri"/>
                        <w:b/>
                        <w:sz w:val="16"/>
                      </w:rPr>
                      <w:t xml:space="preserve">Review date: </w:t>
                    </w:r>
                    <w:r w:rsidR="00950D9C">
                      <w:rPr>
                        <w:rFonts w:ascii="Calibri"/>
                        <w:b/>
                        <w:sz w:val="16"/>
                      </w:rPr>
                      <w:t>September</w:t>
                    </w:r>
                    <w:r>
                      <w:rPr>
                        <w:rFonts w:ascii="Calibri"/>
                        <w:b/>
                        <w:sz w:val="16"/>
                      </w:rPr>
                      <w:t xml:space="preserve"> 202</w:t>
                    </w:r>
                    <w:r w:rsidR="00950D9C">
                      <w:rPr>
                        <w:rFonts w:ascii="Calibri"/>
                        <w:b/>
                        <w:sz w:val="16"/>
                      </w:rPr>
                      <w:t>4</w:t>
                    </w:r>
                    <w:r>
                      <w:rPr>
                        <w:rFonts w:ascii="Calibri"/>
                        <w:b/>
                        <w:sz w:val="16"/>
                      </w:rPr>
                      <w:t xml:space="preserve"> (or sooner if</w:t>
                    </w:r>
                  </w:p>
                  <w:p w14:paraId="4B26F74B" w14:textId="5660077B" w:rsidR="00172FE4" w:rsidRDefault="00EF6D85">
                    <w:pPr>
                      <w:spacing w:before="30"/>
                      <w:ind w:left="20"/>
                      <w:rPr>
                        <w:rFonts w:ascii="Calibri"/>
                        <w:b/>
                        <w:sz w:val="16"/>
                      </w:rPr>
                    </w:pPr>
                    <w:r>
                      <w:rPr>
                        <w:rFonts w:ascii="Calibri"/>
                        <w:b/>
                        <w:sz w:val="16"/>
                      </w:rPr>
                      <w:t>evidence or practice changes</w:t>
                    </w:r>
                    <w:r w:rsidR="00950D9C">
                      <w:rPr>
                        <w:rFonts w:ascii="Calibri"/>
                        <w:b/>
                        <w:sz w:val="16"/>
                      </w:rPr>
                      <w:t>)</w:t>
                    </w:r>
                  </w:p>
                </w:txbxContent>
              </v:textbox>
              <w10:wrap anchorx="page" anchory="page"/>
            </v:shape>
          </w:pict>
        </mc:Fallback>
      </mc:AlternateContent>
    </w:r>
    <w:r w:rsidR="00950D9C">
      <w:rPr>
        <w:noProof/>
      </w:rPr>
      <mc:AlternateContent>
        <mc:Choice Requires="wps">
          <w:drawing>
            <wp:anchor distT="0" distB="0" distL="114300" distR="114300" simplePos="0" relativeHeight="251658243" behindDoc="1" locked="0" layoutInCell="1" allowOverlap="1" wp14:anchorId="772B31FA" wp14:editId="59C91212">
              <wp:simplePos x="0" y="0"/>
              <wp:positionH relativeFrom="page">
                <wp:posOffset>63610</wp:posOffset>
              </wp:positionH>
              <wp:positionV relativeFrom="page">
                <wp:posOffset>9788055</wp:posOffset>
              </wp:positionV>
              <wp:extent cx="7127875" cy="556591"/>
              <wp:effectExtent l="0" t="0" r="1587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7875" cy="556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BDBE4" w14:textId="132F4C1D" w:rsidR="00172FE4" w:rsidRPr="00735E19" w:rsidRDefault="00735E19" w:rsidP="00950D9C">
                          <w:pPr>
                            <w:spacing w:before="2"/>
                            <w:ind w:right="18"/>
                            <w:jc w:val="center"/>
                            <w:rPr>
                              <w:color w:val="0070C0"/>
                              <w:sz w:val="18"/>
                              <w:szCs w:val="18"/>
                            </w:rPr>
                          </w:pPr>
                          <w:proofErr w:type="gramStart"/>
                          <w:r w:rsidRPr="00735E19">
                            <w:rPr>
                              <w:rFonts w:ascii="Calibri" w:eastAsia="Calibri" w:hAnsi="Calibri" w:cs="Times New Roman"/>
                              <w:color w:val="0070C0"/>
                              <w:sz w:val="18"/>
                              <w:szCs w:val="18"/>
                              <w:lang w:val="en-GB" w:eastAsia="en-GB"/>
                            </w:rPr>
                            <w:t>South East</w:t>
                          </w:r>
                          <w:proofErr w:type="gramEnd"/>
                          <w:r w:rsidRPr="00735E19">
                            <w:rPr>
                              <w:rFonts w:ascii="Calibri" w:eastAsia="Calibri" w:hAnsi="Calibri" w:cs="Times New Roman"/>
                              <w:color w:val="0070C0"/>
                              <w:sz w:val="18"/>
                              <w:szCs w:val="18"/>
                              <w:lang w:val="en-GB" w:eastAsia="en-GB"/>
                            </w:rPr>
                            <w:t xml:space="preserve"> London Integrated Medicines Optimisation Committee (SEL IMOC). A partnership between NHS organisations in </w:t>
                          </w:r>
                          <w:proofErr w:type="gramStart"/>
                          <w:r w:rsidRPr="00735E19">
                            <w:rPr>
                              <w:rFonts w:ascii="Calibri" w:eastAsia="Calibri" w:hAnsi="Calibri" w:cs="Times New Roman"/>
                              <w:color w:val="0070C0"/>
                              <w:sz w:val="18"/>
                              <w:szCs w:val="18"/>
                              <w:lang w:val="en-GB" w:eastAsia="en-GB"/>
                            </w:rPr>
                            <w:t>South East</w:t>
                          </w:r>
                          <w:proofErr w:type="gramEnd"/>
                          <w:r w:rsidRPr="00735E19">
                            <w:rPr>
                              <w:rFonts w:ascii="Calibri" w:eastAsia="Calibri" w:hAnsi="Calibri" w:cs="Times New Roman"/>
                              <w:color w:val="0070C0"/>
                              <w:sz w:val="18"/>
                              <w:szCs w:val="18"/>
                              <w:lang w:val="en-GB" w:eastAsia="en-GB"/>
                            </w:rPr>
                            <w:t xml:space="preserve"> London Integrated Care System: NHS South East London (covering the boroughs of Bexley/Bromley/Greenwich/ Lambeth/Lewisham and Southwark) and GSTFT/KCH /</w:t>
                          </w:r>
                          <w:proofErr w:type="spellStart"/>
                          <w:r w:rsidRPr="00735E19">
                            <w:rPr>
                              <w:rFonts w:ascii="Calibri" w:eastAsia="Calibri" w:hAnsi="Calibri" w:cs="Times New Roman"/>
                              <w:color w:val="0070C0"/>
                              <w:sz w:val="18"/>
                              <w:szCs w:val="18"/>
                              <w:lang w:val="en-GB" w:eastAsia="en-GB"/>
                            </w:rPr>
                            <w:t>SLaM</w:t>
                          </w:r>
                          <w:proofErr w:type="spellEnd"/>
                          <w:r w:rsidRPr="00735E19">
                            <w:rPr>
                              <w:rFonts w:ascii="Calibri" w:eastAsia="Calibri" w:hAnsi="Calibri" w:cs="Times New Roman"/>
                              <w:color w:val="0070C0"/>
                              <w:sz w:val="18"/>
                              <w:szCs w:val="18"/>
                              <w:lang w:val="en-GB" w:eastAsia="en-GB"/>
                            </w:rPr>
                            <w:t xml:space="preserve">/ </w:t>
                          </w:r>
                          <w:proofErr w:type="spellStart"/>
                          <w:r w:rsidRPr="00735E19">
                            <w:rPr>
                              <w:rFonts w:ascii="Calibri" w:eastAsia="Calibri" w:hAnsi="Calibri" w:cs="Times New Roman"/>
                              <w:color w:val="0070C0"/>
                              <w:sz w:val="18"/>
                              <w:szCs w:val="18"/>
                              <w:lang w:val="en-GB" w:eastAsia="en-GB"/>
                            </w:rPr>
                            <w:t>Oxleas</w:t>
                          </w:r>
                          <w:proofErr w:type="spellEnd"/>
                          <w:r w:rsidRPr="00735E19">
                            <w:rPr>
                              <w:rFonts w:ascii="Calibri" w:eastAsia="Calibri" w:hAnsi="Calibri" w:cs="Times New Roman"/>
                              <w:color w:val="0070C0"/>
                              <w:sz w:val="18"/>
                              <w:szCs w:val="18"/>
                              <w:lang w:val="en-GB" w:eastAsia="en-GB"/>
                            </w:rPr>
                            <w:t xml:space="preserve"> NHS Foundation Trusts and Lewisham &amp; Greenwich NHS Trust</w:t>
                          </w:r>
                          <w:r w:rsidR="00950D9C" w:rsidRPr="00735E19">
                            <w:rPr>
                              <w:color w:val="0070C0"/>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B31FA" id="Text Box 6" o:spid="_x0000_s1029" type="#_x0000_t202" style="position:absolute;margin-left:5pt;margin-top:770.7pt;width:561.25pt;height:43.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" filled="f" stroked="f">
              <v:textbox inset="0,0,0,0">
                <w:txbxContent>
                  <w:p w14:paraId="0F7BDBE4" w14:textId="132F4C1D" w:rsidR="00172FE4" w:rsidRPr="00735E19" w:rsidRDefault="00735E19" w:rsidP="00950D9C">
                    <w:pPr>
                      <w:spacing w:before="2"/>
                      <w:ind w:right="18"/>
                      <w:jc w:val="center"/>
                      <w:rPr>
                        <w:color w:val="0070C0"/>
                        <w:sz w:val="18"/>
                        <w:szCs w:val="18"/>
                      </w:rPr>
                    </w:pPr>
                    <w:proofErr w:type="gramStart"/>
                    <w:r w:rsidRPr="00735E19">
                      <w:rPr>
                        <w:rFonts w:ascii="Calibri" w:eastAsia="Calibri" w:hAnsi="Calibri" w:cs="Times New Roman"/>
                        <w:color w:val="0070C0"/>
                        <w:sz w:val="18"/>
                        <w:szCs w:val="18"/>
                        <w:lang w:val="en-GB" w:eastAsia="en-GB"/>
                      </w:rPr>
                      <w:t>South East</w:t>
                    </w:r>
                    <w:proofErr w:type="gramEnd"/>
                    <w:r w:rsidRPr="00735E19">
                      <w:rPr>
                        <w:rFonts w:ascii="Calibri" w:eastAsia="Calibri" w:hAnsi="Calibri" w:cs="Times New Roman"/>
                        <w:color w:val="0070C0"/>
                        <w:sz w:val="18"/>
                        <w:szCs w:val="18"/>
                        <w:lang w:val="en-GB" w:eastAsia="en-GB"/>
                      </w:rPr>
                      <w:t xml:space="preserve"> London Integrated Medicines Optimisation Committee (SEL IMOC). A partnership between NHS organisations in </w:t>
                    </w:r>
                    <w:proofErr w:type="gramStart"/>
                    <w:r w:rsidRPr="00735E19">
                      <w:rPr>
                        <w:rFonts w:ascii="Calibri" w:eastAsia="Calibri" w:hAnsi="Calibri" w:cs="Times New Roman"/>
                        <w:color w:val="0070C0"/>
                        <w:sz w:val="18"/>
                        <w:szCs w:val="18"/>
                        <w:lang w:val="en-GB" w:eastAsia="en-GB"/>
                      </w:rPr>
                      <w:t>South East</w:t>
                    </w:r>
                    <w:proofErr w:type="gramEnd"/>
                    <w:r w:rsidRPr="00735E19">
                      <w:rPr>
                        <w:rFonts w:ascii="Calibri" w:eastAsia="Calibri" w:hAnsi="Calibri" w:cs="Times New Roman"/>
                        <w:color w:val="0070C0"/>
                        <w:sz w:val="18"/>
                        <w:szCs w:val="18"/>
                        <w:lang w:val="en-GB" w:eastAsia="en-GB"/>
                      </w:rPr>
                      <w:t xml:space="preserve"> London Integrated Care System: NHS South East London (covering the boroughs of Bexley/Bromley/Greenwich/ Lambeth/Lewisham and Southwark) and GSTFT/KCH /</w:t>
                    </w:r>
                    <w:proofErr w:type="spellStart"/>
                    <w:r w:rsidRPr="00735E19">
                      <w:rPr>
                        <w:rFonts w:ascii="Calibri" w:eastAsia="Calibri" w:hAnsi="Calibri" w:cs="Times New Roman"/>
                        <w:color w:val="0070C0"/>
                        <w:sz w:val="18"/>
                        <w:szCs w:val="18"/>
                        <w:lang w:val="en-GB" w:eastAsia="en-GB"/>
                      </w:rPr>
                      <w:t>SLaM</w:t>
                    </w:r>
                    <w:proofErr w:type="spellEnd"/>
                    <w:r w:rsidRPr="00735E19">
                      <w:rPr>
                        <w:rFonts w:ascii="Calibri" w:eastAsia="Calibri" w:hAnsi="Calibri" w:cs="Times New Roman"/>
                        <w:color w:val="0070C0"/>
                        <w:sz w:val="18"/>
                        <w:szCs w:val="18"/>
                        <w:lang w:val="en-GB" w:eastAsia="en-GB"/>
                      </w:rPr>
                      <w:t xml:space="preserve">/ </w:t>
                    </w:r>
                    <w:proofErr w:type="spellStart"/>
                    <w:r w:rsidRPr="00735E19">
                      <w:rPr>
                        <w:rFonts w:ascii="Calibri" w:eastAsia="Calibri" w:hAnsi="Calibri" w:cs="Times New Roman"/>
                        <w:color w:val="0070C0"/>
                        <w:sz w:val="18"/>
                        <w:szCs w:val="18"/>
                        <w:lang w:val="en-GB" w:eastAsia="en-GB"/>
                      </w:rPr>
                      <w:t>Oxleas</w:t>
                    </w:r>
                    <w:proofErr w:type="spellEnd"/>
                    <w:r w:rsidRPr="00735E19">
                      <w:rPr>
                        <w:rFonts w:ascii="Calibri" w:eastAsia="Calibri" w:hAnsi="Calibri" w:cs="Times New Roman"/>
                        <w:color w:val="0070C0"/>
                        <w:sz w:val="18"/>
                        <w:szCs w:val="18"/>
                        <w:lang w:val="en-GB" w:eastAsia="en-GB"/>
                      </w:rPr>
                      <w:t xml:space="preserve"> NHS Foundation Trusts and Lewisham &amp; Greenwich NHS Trust</w:t>
                    </w:r>
                    <w:r w:rsidR="00950D9C" w:rsidRPr="00735E19">
                      <w:rPr>
                        <w:color w:val="0070C0"/>
                        <w:sz w:val="18"/>
                        <w:szCs w:val="18"/>
                      </w:rPr>
                      <w:t>.</w:t>
                    </w:r>
                  </w:p>
                </w:txbxContent>
              </v:textbox>
              <w10:wrap anchorx="page" anchory="page"/>
            </v:shape>
          </w:pict>
        </mc:Fallback>
      </mc:AlternateContent>
    </w:r>
    <w:r w:rsidR="00950D9C">
      <w:rPr>
        <w:noProof/>
      </w:rPr>
      <mc:AlternateContent>
        <mc:Choice Requires="wps">
          <w:drawing>
            <wp:anchor distT="0" distB="0" distL="114300" distR="114300" simplePos="0" relativeHeight="251658241" behindDoc="1" locked="0" layoutInCell="1" allowOverlap="1" wp14:anchorId="3474A86E" wp14:editId="293D0927">
              <wp:simplePos x="0" y="0"/>
              <wp:positionH relativeFrom="page">
                <wp:posOffset>6922135</wp:posOffset>
              </wp:positionH>
              <wp:positionV relativeFrom="page">
                <wp:posOffset>10318750</wp:posOffset>
              </wp:positionV>
              <wp:extent cx="78105" cy="156845"/>
              <wp:effectExtent l="0" t="3175" r="63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6C32" w14:textId="77777777" w:rsidR="00172FE4" w:rsidRDefault="00EF6D85">
                          <w:pPr>
                            <w:spacing w:line="247" w:lineRule="exact"/>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A86E" id="Text Box 8" o:spid="_x0000_s1030" type="#_x0000_t202" style="position:absolute;margin-left:545.05pt;margin-top:812.5pt;width:6.15pt;height:12.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" filled="f" stroked="f">
              <v:textbox inset="0,0,0,0">
                <w:txbxContent>
                  <w:p w14:paraId="0DEC6C32" w14:textId="77777777" w:rsidR="00172FE4" w:rsidRDefault="00EF6D85">
                    <w:pPr>
                      <w:spacing w:line="247" w:lineRule="exact"/>
                    </w:pPr>
                    <w:r>
                      <w:t>1</w:t>
                    </w:r>
                  </w:p>
                </w:txbxContent>
              </v:textbox>
              <w10:wrap anchorx="page" anchory="page"/>
            </v:shape>
          </w:pict>
        </mc:Fallback>
      </mc:AlternateContent>
    </w:r>
    <w:r w:rsidR="00950D9C">
      <w:rPr>
        <w:noProof/>
      </w:rPr>
      <mc:AlternateContent>
        <mc:Choice Requires="wps">
          <w:drawing>
            <wp:anchor distT="0" distB="0" distL="114300" distR="114300" simplePos="0" relativeHeight="251658242" behindDoc="1" locked="0" layoutInCell="1" allowOverlap="1" wp14:anchorId="7A6E5E79" wp14:editId="3EA4653B">
              <wp:simplePos x="0" y="0"/>
              <wp:positionH relativeFrom="page">
                <wp:posOffset>5342890</wp:posOffset>
              </wp:positionH>
              <wp:positionV relativeFrom="page">
                <wp:posOffset>10177780</wp:posOffset>
              </wp:positionV>
              <wp:extent cx="2034540" cy="414655"/>
              <wp:effectExtent l="0" t="0" r="444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BC7AE" id="Rectangle 7" o:spid="_x0000_s1026" style="position:absolute;margin-left:420.7pt;margin-top:801.4pt;width:160.2pt;height:32.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"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0757" w14:textId="77777777" w:rsidR="001607BB" w:rsidRDefault="001607BB" w:rsidP="00950D9C">
      <w:r>
        <w:separator/>
      </w:r>
    </w:p>
  </w:footnote>
  <w:footnote w:type="continuationSeparator" w:id="0">
    <w:p w14:paraId="75620FD6" w14:textId="77777777" w:rsidR="001607BB" w:rsidRDefault="001607BB" w:rsidP="00950D9C">
      <w:r>
        <w:continuationSeparator/>
      </w:r>
    </w:p>
  </w:footnote>
  <w:footnote w:type="continuationNotice" w:id="1">
    <w:p w14:paraId="68A6066C" w14:textId="77777777" w:rsidR="001607BB" w:rsidRDefault="00160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E7D9" w14:textId="2DB720FD" w:rsidR="00950D9C" w:rsidRDefault="00B22F95" w:rsidP="00950D9C">
    <w:pPr>
      <w:pStyle w:val="Header"/>
    </w:pPr>
    <w:r>
      <w:rPr>
        <w:noProof/>
      </w:rPr>
      <w:drawing>
        <wp:anchor distT="0" distB="0" distL="114300" distR="114300" simplePos="0" relativeHeight="251659270" behindDoc="1" locked="0" layoutInCell="1" allowOverlap="1" wp14:anchorId="2CEB50C1" wp14:editId="01CA4FFA">
          <wp:simplePos x="0" y="0"/>
          <wp:positionH relativeFrom="rightMargin">
            <wp:posOffset>-124732</wp:posOffset>
          </wp:positionH>
          <wp:positionV relativeFrom="paragraph">
            <wp:posOffset>10297</wp:posOffset>
          </wp:positionV>
          <wp:extent cx="708663" cy="28624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971" cy="2879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E8188" w14:textId="656D5086" w:rsidR="00172FE4" w:rsidRDefault="00D17A5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3D2"/>
    <w:multiLevelType w:val="hybridMultilevel"/>
    <w:tmpl w:val="DA6E40D6"/>
    <w:lvl w:ilvl="0" w:tplc="C9544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E3569"/>
    <w:multiLevelType w:val="hybridMultilevel"/>
    <w:tmpl w:val="5D3E90B2"/>
    <w:lvl w:ilvl="0" w:tplc="7BA4A640">
      <w:start w:val="1"/>
      <w:numFmt w:val="decimal"/>
      <w:lvlText w:val="%1."/>
      <w:lvlJc w:val="left"/>
      <w:pPr>
        <w:ind w:left="580" w:hanging="360"/>
      </w:pPr>
      <w:rPr>
        <w:rFonts w:ascii="Arial" w:eastAsia="Arial" w:hAnsi="Arial" w:cs="Arial" w:hint="default"/>
        <w:b/>
        <w:bCs/>
        <w:spacing w:val="-6"/>
        <w:w w:val="99"/>
        <w:sz w:val="24"/>
        <w:szCs w:val="24"/>
      </w:rPr>
    </w:lvl>
    <w:lvl w:ilvl="1" w:tplc="71EA88A6">
      <w:numFmt w:val="bullet"/>
      <w:lvlText w:val=""/>
      <w:lvlJc w:val="left"/>
      <w:pPr>
        <w:ind w:left="940" w:hanging="360"/>
      </w:pPr>
      <w:rPr>
        <w:rFonts w:hint="default"/>
        <w:w w:val="100"/>
      </w:rPr>
    </w:lvl>
    <w:lvl w:ilvl="2" w:tplc="BA12EA08">
      <w:numFmt w:val="bullet"/>
      <w:lvlText w:val="•"/>
      <w:lvlJc w:val="left"/>
      <w:pPr>
        <w:ind w:left="1887" w:hanging="360"/>
      </w:pPr>
      <w:rPr>
        <w:rFonts w:hint="default"/>
      </w:rPr>
    </w:lvl>
    <w:lvl w:ilvl="3" w:tplc="F5880C00">
      <w:numFmt w:val="bullet"/>
      <w:lvlText w:val="•"/>
      <w:lvlJc w:val="left"/>
      <w:pPr>
        <w:ind w:left="2834" w:hanging="360"/>
      </w:pPr>
      <w:rPr>
        <w:rFonts w:hint="default"/>
      </w:rPr>
    </w:lvl>
    <w:lvl w:ilvl="4" w:tplc="A6929FBE">
      <w:numFmt w:val="bullet"/>
      <w:lvlText w:val="•"/>
      <w:lvlJc w:val="left"/>
      <w:pPr>
        <w:ind w:left="3782" w:hanging="360"/>
      </w:pPr>
      <w:rPr>
        <w:rFonts w:hint="default"/>
      </w:rPr>
    </w:lvl>
    <w:lvl w:ilvl="5" w:tplc="A6D0F1C4">
      <w:numFmt w:val="bullet"/>
      <w:lvlText w:val="•"/>
      <w:lvlJc w:val="left"/>
      <w:pPr>
        <w:ind w:left="4729" w:hanging="360"/>
      </w:pPr>
      <w:rPr>
        <w:rFonts w:hint="default"/>
      </w:rPr>
    </w:lvl>
    <w:lvl w:ilvl="6" w:tplc="833AB0E4">
      <w:numFmt w:val="bullet"/>
      <w:lvlText w:val="•"/>
      <w:lvlJc w:val="left"/>
      <w:pPr>
        <w:ind w:left="5676" w:hanging="360"/>
      </w:pPr>
      <w:rPr>
        <w:rFonts w:hint="default"/>
      </w:rPr>
    </w:lvl>
    <w:lvl w:ilvl="7" w:tplc="8C54D7CC">
      <w:numFmt w:val="bullet"/>
      <w:lvlText w:val="•"/>
      <w:lvlJc w:val="left"/>
      <w:pPr>
        <w:ind w:left="6624" w:hanging="360"/>
      </w:pPr>
      <w:rPr>
        <w:rFonts w:hint="default"/>
      </w:rPr>
    </w:lvl>
    <w:lvl w:ilvl="8" w:tplc="2ADE06CA">
      <w:numFmt w:val="bullet"/>
      <w:lvlText w:val="•"/>
      <w:lvlJc w:val="left"/>
      <w:pPr>
        <w:ind w:left="7571" w:hanging="360"/>
      </w:pPr>
      <w:rPr>
        <w:rFonts w:hint="default"/>
      </w:rPr>
    </w:lvl>
  </w:abstractNum>
  <w:abstractNum w:abstractNumId="2" w15:restartNumberingAfterBreak="0">
    <w:nsid w:val="4BA25767"/>
    <w:multiLevelType w:val="hybridMultilevel"/>
    <w:tmpl w:val="B7E8B4A8"/>
    <w:lvl w:ilvl="0" w:tplc="31225FE6">
      <w:numFmt w:val="bullet"/>
      <w:lvlText w:val="-"/>
      <w:lvlJc w:val="left"/>
      <w:pPr>
        <w:ind w:left="940" w:hanging="360"/>
      </w:pPr>
      <w:rPr>
        <w:rFonts w:ascii="Calibri" w:eastAsia="Calibri" w:hAnsi="Calibri" w:cs="Calibri" w:hint="default"/>
        <w:spacing w:val="-4"/>
        <w:w w:val="99"/>
        <w:sz w:val="24"/>
        <w:szCs w:val="24"/>
      </w:rPr>
    </w:lvl>
    <w:lvl w:ilvl="1" w:tplc="753611E6">
      <w:numFmt w:val="bullet"/>
      <w:lvlText w:val="•"/>
      <w:lvlJc w:val="left"/>
      <w:pPr>
        <w:ind w:left="1792" w:hanging="360"/>
      </w:pPr>
      <w:rPr>
        <w:rFonts w:hint="default"/>
      </w:rPr>
    </w:lvl>
    <w:lvl w:ilvl="2" w:tplc="F6DCE3D4">
      <w:numFmt w:val="bullet"/>
      <w:lvlText w:val="•"/>
      <w:lvlJc w:val="left"/>
      <w:pPr>
        <w:ind w:left="2645" w:hanging="360"/>
      </w:pPr>
      <w:rPr>
        <w:rFonts w:hint="default"/>
      </w:rPr>
    </w:lvl>
    <w:lvl w:ilvl="3" w:tplc="DF02F53A">
      <w:numFmt w:val="bullet"/>
      <w:lvlText w:val="•"/>
      <w:lvlJc w:val="left"/>
      <w:pPr>
        <w:ind w:left="3497" w:hanging="360"/>
      </w:pPr>
      <w:rPr>
        <w:rFonts w:hint="default"/>
      </w:rPr>
    </w:lvl>
    <w:lvl w:ilvl="4" w:tplc="5636D254">
      <w:numFmt w:val="bullet"/>
      <w:lvlText w:val="•"/>
      <w:lvlJc w:val="left"/>
      <w:pPr>
        <w:ind w:left="4350" w:hanging="360"/>
      </w:pPr>
      <w:rPr>
        <w:rFonts w:hint="default"/>
      </w:rPr>
    </w:lvl>
    <w:lvl w:ilvl="5" w:tplc="93B6302C">
      <w:numFmt w:val="bullet"/>
      <w:lvlText w:val="•"/>
      <w:lvlJc w:val="left"/>
      <w:pPr>
        <w:ind w:left="5203" w:hanging="360"/>
      </w:pPr>
      <w:rPr>
        <w:rFonts w:hint="default"/>
      </w:rPr>
    </w:lvl>
    <w:lvl w:ilvl="6" w:tplc="6DA01524">
      <w:numFmt w:val="bullet"/>
      <w:lvlText w:val="•"/>
      <w:lvlJc w:val="left"/>
      <w:pPr>
        <w:ind w:left="6055" w:hanging="360"/>
      </w:pPr>
      <w:rPr>
        <w:rFonts w:hint="default"/>
      </w:rPr>
    </w:lvl>
    <w:lvl w:ilvl="7" w:tplc="56EC0C82">
      <w:numFmt w:val="bullet"/>
      <w:lvlText w:val="•"/>
      <w:lvlJc w:val="left"/>
      <w:pPr>
        <w:ind w:left="6908" w:hanging="360"/>
      </w:pPr>
      <w:rPr>
        <w:rFonts w:hint="default"/>
      </w:rPr>
    </w:lvl>
    <w:lvl w:ilvl="8" w:tplc="13EED9EE">
      <w:numFmt w:val="bullet"/>
      <w:lvlText w:val="•"/>
      <w:lvlJc w:val="left"/>
      <w:pPr>
        <w:ind w:left="7761" w:hanging="360"/>
      </w:pPr>
      <w:rPr>
        <w:rFonts w:hint="default"/>
      </w:rPr>
    </w:lvl>
  </w:abstractNum>
  <w:abstractNum w:abstractNumId="3" w15:restartNumberingAfterBreak="0">
    <w:nsid w:val="51A20AC1"/>
    <w:multiLevelType w:val="hybridMultilevel"/>
    <w:tmpl w:val="7EDC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07676"/>
    <w:multiLevelType w:val="hybridMultilevel"/>
    <w:tmpl w:val="AC70D8F0"/>
    <w:lvl w:ilvl="0" w:tplc="F3BE4CB0">
      <w:start w:val="1"/>
      <w:numFmt w:val="decimal"/>
      <w:lvlText w:val="%1."/>
      <w:lvlJc w:val="left"/>
      <w:pPr>
        <w:ind w:left="579" w:hanging="360"/>
      </w:pPr>
      <w:rPr>
        <w:rFonts w:hint="default"/>
        <w:spacing w:val="-1"/>
        <w:w w:val="100"/>
      </w:rPr>
    </w:lvl>
    <w:lvl w:ilvl="1" w:tplc="8616655C">
      <w:numFmt w:val="bullet"/>
      <w:lvlText w:val="•"/>
      <w:lvlJc w:val="left"/>
      <w:pPr>
        <w:ind w:left="1468" w:hanging="360"/>
      </w:pPr>
      <w:rPr>
        <w:rFonts w:hint="default"/>
      </w:rPr>
    </w:lvl>
    <w:lvl w:ilvl="2" w:tplc="E2EAE8C0">
      <w:numFmt w:val="bullet"/>
      <w:lvlText w:val="•"/>
      <w:lvlJc w:val="left"/>
      <w:pPr>
        <w:ind w:left="2357" w:hanging="360"/>
      </w:pPr>
      <w:rPr>
        <w:rFonts w:hint="default"/>
      </w:rPr>
    </w:lvl>
    <w:lvl w:ilvl="3" w:tplc="9B708A26">
      <w:numFmt w:val="bullet"/>
      <w:lvlText w:val="•"/>
      <w:lvlJc w:val="left"/>
      <w:pPr>
        <w:ind w:left="3245" w:hanging="360"/>
      </w:pPr>
      <w:rPr>
        <w:rFonts w:hint="default"/>
      </w:rPr>
    </w:lvl>
    <w:lvl w:ilvl="4" w:tplc="5FF6EDB4">
      <w:numFmt w:val="bullet"/>
      <w:lvlText w:val="•"/>
      <w:lvlJc w:val="left"/>
      <w:pPr>
        <w:ind w:left="4134" w:hanging="360"/>
      </w:pPr>
      <w:rPr>
        <w:rFonts w:hint="default"/>
      </w:rPr>
    </w:lvl>
    <w:lvl w:ilvl="5" w:tplc="906024FA">
      <w:numFmt w:val="bullet"/>
      <w:lvlText w:val="•"/>
      <w:lvlJc w:val="left"/>
      <w:pPr>
        <w:ind w:left="5023" w:hanging="360"/>
      </w:pPr>
      <w:rPr>
        <w:rFonts w:hint="default"/>
      </w:rPr>
    </w:lvl>
    <w:lvl w:ilvl="6" w:tplc="D47E9122">
      <w:numFmt w:val="bullet"/>
      <w:lvlText w:val="•"/>
      <w:lvlJc w:val="left"/>
      <w:pPr>
        <w:ind w:left="5911" w:hanging="360"/>
      </w:pPr>
      <w:rPr>
        <w:rFonts w:hint="default"/>
      </w:rPr>
    </w:lvl>
    <w:lvl w:ilvl="7" w:tplc="46C45FBC">
      <w:numFmt w:val="bullet"/>
      <w:lvlText w:val="•"/>
      <w:lvlJc w:val="left"/>
      <w:pPr>
        <w:ind w:left="6800" w:hanging="360"/>
      </w:pPr>
      <w:rPr>
        <w:rFonts w:hint="default"/>
      </w:rPr>
    </w:lvl>
    <w:lvl w:ilvl="8" w:tplc="4A2E2A78">
      <w:numFmt w:val="bullet"/>
      <w:lvlText w:val="•"/>
      <w:lvlJc w:val="left"/>
      <w:pPr>
        <w:ind w:left="7689" w:hanging="360"/>
      </w:pPr>
      <w:rPr>
        <w:rFonts w:hint="default"/>
      </w:rPr>
    </w:lvl>
  </w:abstractNum>
  <w:abstractNum w:abstractNumId="5" w15:restartNumberingAfterBreak="0">
    <w:nsid w:val="7D382F10"/>
    <w:multiLevelType w:val="hybridMultilevel"/>
    <w:tmpl w:val="88C692D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16cid:durableId="1907565932">
    <w:abstractNumId w:val="4"/>
  </w:num>
  <w:num w:numId="2" w16cid:durableId="1589655018">
    <w:abstractNumId w:val="2"/>
  </w:num>
  <w:num w:numId="3" w16cid:durableId="120923145">
    <w:abstractNumId w:val="1"/>
  </w:num>
  <w:num w:numId="4" w16cid:durableId="56443767">
    <w:abstractNumId w:val="5"/>
  </w:num>
  <w:num w:numId="5" w16cid:durableId="614795149">
    <w:abstractNumId w:val="3"/>
  </w:num>
  <w:num w:numId="6" w16cid:durableId="43332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9C"/>
    <w:rsid w:val="00055CA6"/>
    <w:rsid w:val="00077E45"/>
    <w:rsid w:val="000A3E28"/>
    <w:rsid w:val="001139E9"/>
    <w:rsid w:val="00116021"/>
    <w:rsid w:val="00125396"/>
    <w:rsid w:val="00136C08"/>
    <w:rsid w:val="0015104A"/>
    <w:rsid w:val="001607BB"/>
    <w:rsid w:val="00200A99"/>
    <w:rsid w:val="00211894"/>
    <w:rsid w:val="00211B0E"/>
    <w:rsid w:val="00230170"/>
    <w:rsid w:val="002377D3"/>
    <w:rsid w:val="00244BC2"/>
    <w:rsid w:val="002515E5"/>
    <w:rsid w:val="002552CE"/>
    <w:rsid w:val="00282A9A"/>
    <w:rsid w:val="002C4212"/>
    <w:rsid w:val="002E40CC"/>
    <w:rsid w:val="00321F6F"/>
    <w:rsid w:val="00327287"/>
    <w:rsid w:val="00365806"/>
    <w:rsid w:val="00365D2E"/>
    <w:rsid w:val="003C0AED"/>
    <w:rsid w:val="003C301F"/>
    <w:rsid w:val="003D35C5"/>
    <w:rsid w:val="003E64E2"/>
    <w:rsid w:val="004151C0"/>
    <w:rsid w:val="00416607"/>
    <w:rsid w:val="00437D2D"/>
    <w:rsid w:val="00454F7E"/>
    <w:rsid w:val="004555BC"/>
    <w:rsid w:val="00456915"/>
    <w:rsid w:val="00467C8B"/>
    <w:rsid w:val="004D5A1A"/>
    <w:rsid w:val="004E7342"/>
    <w:rsid w:val="005343BC"/>
    <w:rsid w:val="005459DE"/>
    <w:rsid w:val="00584D6D"/>
    <w:rsid w:val="005A74ED"/>
    <w:rsid w:val="005B2B2E"/>
    <w:rsid w:val="005C6DE8"/>
    <w:rsid w:val="005F4B2A"/>
    <w:rsid w:val="00615E77"/>
    <w:rsid w:val="00695D66"/>
    <w:rsid w:val="0069728C"/>
    <w:rsid w:val="006A5FE5"/>
    <w:rsid w:val="006A689E"/>
    <w:rsid w:val="006F5FCA"/>
    <w:rsid w:val="0072652A"/>
    <w:rsid w:val="00735E19"/>
    <w:rsid w:val="007664B0"/>
    <w:rsid w:val="007A3C11"/>
    <w:rsid w:val="007B18C6"/>
    <w:rsid w:val="007C7759"/>
    <w:rsid w:val="007E6C19"/>
    <w:rsid w:val="0084717A"/>
    <w:rsid w:val="0088113B"/>
    <w:rsid w:val="00884E84"/>
    <w:rsid w:val="008A0CCC"/>
    <w:rsid w:val="008F476E"/>
    <w:rsid w:val="008F49C2"/>
    <w:rsid w:val="0094224A"/>
    <w:rsid w:val="00950D9C"/>
    <w:rsid w:val="00964401"/>
    <w:rsid w:val="00993E3E"/>
    <w:rsid w:val="00A44A3F"/>
    <w:rsid w:val="00AC0DFB"/>
    <w:rsid w:val="00B22F95"/>
    <w:rsid w:val="00B47313"/>
    <w:rsid w:val="00B5331F"/>
    <w:rsid w:val="00BA5D85"/>
    <w:rsid w:val="00BB285E"/>
    <w:rsid w:val="00BB40CD"/>
    <w:rsid w:val="00BB5F7C"/>
    <w:rsid w:val="00BD4867"/>
    <w:rsid w:val="00C547A1"/>
    <w:rsid w:val="00C97A33"/>
    <w:rsid w:val="00D17A54"/>
    <w:rsid w:val="00D20658"/>
    <w:rsid w:val="00D345AE"/>
    <w:rsid w:val="00D642A4"/>
    <w:rsid w:val="00D760E7"/>
    <w:rsid w:val="00DB6395"/>
    <w:rsid w:val="00DD4D09"/>
    <w:rsid w:val="00DD7541"/>
    <w:rsid w:val="00DE1951"/>
    <w:rsid w:val="00E077C5"/>
    <w:rsid w:val="00E67AF5"/>
    <w:rsid w:val="00EF6D85"/>
    <w:rsid w:val="00F13F55"/>
    <w:rsid w:val="00F45AE1"/>
    <w:rsid w:val="00F63FB5"/>
    <w:rsid w:val="00F66DD6"/>
    <w:rsid w:val="00F945C5"/>
    <w:rsid w:val="00FA126B"/>
    <w:rsid w:val="00FA52DA"/>
    <w:rsid w:val="00FB37E1"/>
    <w:rsid w:val="00FB7E81"/>
    <w:rsid w:val="00FD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3DC1"/>
  <w15:chartTrackingRefBased/>
  <w15:docId w15:val="{A281B34A-34AB-40B8-9AA2-259684845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D9C"/>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950D9C"/>
    <w:pPr>
      <w:ind w:left="5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D9C"/>
    <w:rPr>
      <w:rFonts w:ascii="Arial" w:eastAsia="Arial" w:hAnsi="Arial" w:cs="Arial"/>
      <w:b/>
      <w:bCs/>
      <w:sz w:val="24"/>
      <w:szCs w:val="24"/>
      <w:lang w:val="en-US"/>
    </w:rPr>
  </w:style>
  <w:style w:type="paragraph" w:styleId="BodyText">
    <w:name w:val="Body Text"/>
    <w:basedOn w:val="Normal"/>
    <w:link w:val="BodyTextChar"/>
    <w:uiPriority w:val="1"/>
    <w:qFormat/>
    <w:rsid w:val="00950D9C"/>
    <w:rPr>
      <w:sz w:val="24"/>
      <w:szCs w:val="24"/>
    </w:rPr>
  </w:style>
  <w:style w:type="character" w:customStyle="1" w:styleId="BodyTextChar">
    <w:name w:val="Body Text Char"/>
    <w:basedOn w:val="DefaultParagraphFont"/>
    <w:link w:val="BodyText"/>
    <w:uiPriority w:val="1"/>
    <w:rsid w:val="00950D9C"/>
    <w:rPr>
      <w:rFonts w:ascii="Arial" w:eastAsia="Arial" w:hAnsi="Arial" w:cs="Arial"/>
      <w:sz w:val="24"/>
      <w:szCs w:val="24"/>
      <w:lang w:val="en-US"/>
    </w:rPr>
  </w:style>
  <w:style w:type="paragraph" w:styleId="ListParagraph">
    <w:name w:val="List Paragraph"/>
    <w:basedOn w:val="Normal"/>
    <w:uiPriority w:val="1"/>
    <w:qFormat/>
    <w:rsid w:val="00950D9C"/>
    <w:pPr>
      <w:ind w:left="580" w:hanging="360"/>
    </w:pPr>
  </w:style>
  <w:style w:type="paragraph" w:customStyle="1" w:styleId="TableParagraph">
    <w:name w:val="Table Paragraph"/>
    <w:basedOn w:val="Normal"/>
    <w:uiPriority w:val="1"/>
    <w:qFormat/>
    <w:rsid w:val="00950D9C"/>
    <w:pPr>
      <w:spacing w:line="274" w:lineRule="exact"/>
      <w:ind w:left="107"/>
    </w:pPr>
  </w:style>
  <w:style w:type="paragraph" w:styleId="Header">
    <w:name w:val="header"/>
    <w:basedOn w:val="Normal"/>
    <w:link w:val="HeaderChar"/>
    <w:uiPriority w:val="99"/>
    <w:unhideWhenUsed/>
    <w:rsid w:val="00950D9C"/>
    <w:pPr>
      <w:tabs>
        <w:tab w:val="center" w:pos="4513"/>
        <w:tab w:val="right" w:pos="9026"/>
      </w:tabs>
    </w:pPr>
  </w:style>
  <w:style w:type="character" w:customStyle="1" w:styleId="HeaderChar">
    <w:name w:val="Header Char"/>
    <w:basedOn w:val="DefaultParagraphFont"/>
    <w:link w:val="Header"/>
    <w:uiPriority w:val="99"/>
    <w:rsid w:val="00950D9C"/>
    <w:rPr>
      <w:rFonts w:ascii="Arial" w:eastAsia="Arial" w:hAnsi="Arial" w:cs="Arial"/>
      <w:lang w:val="en-US"/>
    </w:rPr>
  </w:style>
  <w:style w:type="paragraph" w:styleId="Footer">
    <w:name w:val="footer"/>
    <w:basedOn w:val="Normal"/>
    <w:link w:val="FooterChar"/>
    <w:uiPriority w:val="99"/>
    <w:unhideWhenUsed/>
    <w:rsid w:val="00950D9C"/>
    <w:pPr>
      <w:tabs>
        <w:tab w:val="center" w:pos="4513"/>
        <w:tab w:val="right" w:pos="9026"/>
      </w:tabs>
    </w:pPr>
  </w:style>
  <w:style w:type="character" w:customStyle="1" w:styleId="FooterChar">
    <w:name w:val="Footer Char"/>
    <w:basedOn w:val="DefaultParagraphFont"/>
    <w:link w:val="Footer"/>
    <w:uiPriority w:val="99"/>
    <w:rsid w:val="00950D9C"/>
    <w:rPr>
      <w:rFonts w:ascii="Arial" w:eastAsia="Arial" w:hAnsi="Arial" w:cs="Arial"/>
      <w:lang w:val="en-US"/>
    </w:rPr>
  </w:style>
  <w:style w:type="character" w:styleId="Hyperlink">
    <w:name w:val="Hyperlink"/>
    <w:basedOn w:val="DefaultParagraphFont"/>
    <w:uiPriority w:val="99"/>
    <w:unhideWhenUsed/>
    <w:rsid w:val="00BA5D85"/>
    <w:rPr>
      <w:color w:val="0563C1" w:themeColor="hyperlink"/>
      <w:u w:val="single"/>
    </w:rPr>
  </w:style>
  <w:style w:type="character" w:styleId="FollowedHyperlink">
    <w:name w:val="FollowedHyperlink"/>
    <w:basedOn w:val="DefaultParagraphFont"/>
    <w:uiPriority w:val="99"/>
    <w:semiHidden/>
    <w:unhideWhenUsed/>
    <w:rsid w:val="00BA5D85"/>
    <w:rPr>
      <w:color w:val="954F72" w:themeColor="followedHyperlink"/>
      <w:u w:val="single"/>
    </w:rPr>
  </w:style>
  <w:style w:type="character" w:styleId="UnresolvedMention">
    <w:name w:val="Unresolved Mention"/>
    <w:basedOn w:val="DefaultParagraphFont"/>
    <w:uiPriority w:val="99"/>
    <w:semiHidden/>
    <w:unhideWhenUsed/>
    <w:rsid w:val="00BA5D85"/>
    <w:rPr>
      <w:color w:val="605E5C"/>
      <w:shd w:val="clear" w:color="auto" w:fill="E1DFDD"/>
    </w:rPr>
  </w:style>
  <w:style w:type="character" w:styleId="CommentReference">
    <w:name w:val="annotation reference"/>
    <w:basedOn w:val="DefaultParagraphFont"/>
    <w:uiPriority w:val="99"/>
    <w:semiHidden/>
    <w:unhideWhenUsed/>
    <w:rsid w:val="0072652A"/>
    <w:rPr>
      <w:sz w:val="16"/>
      <w:szCs w:val="16"/>
    </w:rPr>
  </w:style>
  <w:style w:type="paragraph" w:styleId="CommentText">
    <w:name w:val="annotation text"/>
    <w:basedOn w:val="Normal"/>
    <w:link w:val="CommentTextChar"/>
    <w:uiPriority w:val="99"/>
    <w:unhideWhenUsed/>
    <w:rsid w:val="0072652A"/>
    <w:rPr>
      <w:sz w:val="20"/>
      <w:szCs w:val="20"/>
    </w:rPr>
  </w:style>
  <w:style w:type="character" w:customStyle="1" w:styleId="CommentTextChar">
    <w:name w:val="Comment Text Char"/>
    <w:basedOn w:val="DefaultParagraphFont"/>
    <w:link w:val="CommentText"/>
    <w:uiPriority w:val="99"/>
    <w:rsid w:val="0072652A"/>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72652A"/>
    <w:rPr>
      <w:b/>
      <w:bCs/>
    </w:rPr>
  </w:style>
  <w:style w:type="character" w:customStyle="1" w:styleId="CommentSubjectChar">
    <w:name w:val="Comment Subject Char"/>
    <w:basedOn w:val="CommentTextChar"/>
    <w:link w:val="CommentSubject"/>
    <w:uiPriority w:val="99"/>
    <w:semiHidden/>
    <w:rsid w:val="0072652A"/>
    <w:rPr>
      <w:rFonts w:ascii="Arial" w:eastAsia="Arial" w:hAnsi="Arial" w:cs="Arial"/>
      <w:b/>
      <w:bCs/>
      <w:sz w:val="20"/>
      <w:szCs w:val="20"/>
      <w:lang w:val="en-US"/>
    </w:rPr>
  </w:style>
  <w:style w:type="paragraph" w:styleId="Revision">
    <w:name w:val="Revision"/>
    <w:hidden/>
    <w:uiPriority w:val="99"/>
    <w:semiHidden/>
    <w:rsid w:val="00884E84"/>
    <w:pPr>
      <w:spacing w:after="0" w:line="240" w:lineRule="auto"/>
    </w:pPr>
    <w:rPr>
      <w:rFonts w:ascii="Arial" w:eastAsia="Arial" w:hAnsi="Arial" w:cs="Arial"/>
      <w:lang w:val="en-US"/>
    </w:rPr>
  </w:style>
  <w:style w:type="paragraph" w:styleId="NormalWeb">
    <w:name w:val="Normal (Web)"/>
    <w:basedOn w:val="Normal"/>
    <w:uiPriority w:val="99"/>
    <w:rsid w:val="00884E8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medicines/conditions-for-which-over-the-counter-items-should-not-routinely-be-prescribed/" TargetMode="External"/><Relationship Id="rId18" Type="http://schemas.openxmlformats.org/officeDocument/2006/relationships/hyperlink" Target="http://www.mims.co.uk/" TargetMode="External"/><Relationship Id="rId26" Type="http://schemas.openxmlformats.org/officeDocument/2006/relationships/hyperlink" Target="http://www.selondonics.org/selimoc-adultguidelines" TargetMode="External"/><Relationship Id="rId39" Type="http://schemas.openxmlformats.org/officeDocument/2006/relationships/hyperlink" Target="http://www.selondonics.org/selimoc-selfcare" TargetMode="External"/><Relationship Id="rId21" Type="http://schemas.openxmlformats.org/officeDocument/2006/relationships/hyperlink" Target="https://www.england.nhs.uk/primary-care/pharmacy/medicines-optimisation-in-care-homes/" TargetMode="External"/><Relationship Id="rId34" Type="http://schemas.openxmlformats.org/officeDocument/2006/relationships/hyperlink" Target="https://www.sps.nhs.uk/category/guidance/complementary-medicines-guidance/" TargetMode="External"/><Relationship Id="rId42" Type="http://schemas.openxmlformats.org/officeDocument/2006/relationships/hyperlink" Target="https://www.selondonics.org/icb/your-health/medicines/medicines-optimisation-teams/" TargetMode="External"/><Relationship Id="rId47" Type="http://schemas.openxmlformats.org/officeDocument/2006/relationships/hyperlink" Target="https://www.sps.nhs.uk/articles/rmoc-guidance-homely-remedies/" TargetMode="External"/><Relationship Id="rId50" Type="http://schemas.openxmlformats.org/officeDocument/2006/relationships/hyperlink" Target="https://www.prescqipp.info/media/1735/b107-multivitamins-21.pdf"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selondonics.org/selimoc-recommendations" TargetMode="External"/><Relationship Id="rId11" Type="http://schemas.openxmlformats.org/officeDocument/2006/relationships/endnotes" Target="endnotes.xml"/><Relationship Id="rId24" Type="http://schemas.openxmlformats.org/officeDocument/2006/relationships/hyperlink" Target="https://www.bma.org.uk/advice-and-support/gp-practices/managing-workload/prescribing-over-the-counter-medicines-in-nurseries-and-schools" TargetMode="External"/><Relationship Id="rId32" Type="http://schemas.openxmlformats.org/officeDocument/2006/relationships/hyperlink" Target="https://www.england.nhs.uk/medicines-2/items-which-should-not-be-routinely-prescribed/" TargetMode="External"/><Relationship Id="rId37" Type="http://schemas.openxmlformats.org/officeDocument/2006/relationships/hyperlink" Target="http://www.selondonics.org/selimoc" TargetMode="External"/><Relationship Id="rId40" Type="http://schemas.openxmlformats.org/officeDocument/2006/relationships/hyperlink" Target="https://www.selondonics.org/icb/your-health/medicines/medicines-optimisation-teams/" TargetMode="External"/><Relationship Id="rId45" Type="http://schemas.openxmlformats.org/officeDocument/2006/relationships/hyperlink" Target="https://www.selondonics.org/icb/your-health/medicines/medicines-optimisation-teams/" TargetMode="External"/><Relationship Id="rId53" Type="http://schemas.openxmlformats.org/officeDocument/2006/relationships/hyperlink" Target="https://www.medicinesresources.nhs.uk/en/Medicines-Awareness/Guidance-and-Advice/Drug-Prescribing/Probiotics-VSL3-and-Vivomixx-have-been-removed-from-the-Drug-Tariff-following-review-by-Advisory-Committee-on-Borderline-Substances-ACBS-/"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sps.nhs.uk/articles/rmoc-guidance-homely-remedies/" TargetMode="External"/><Relationship Id="rId31" Type="http://schemas.openxmlformats.org/officeDocument/2006/relationships/hyperlink" Target="https://bnf.nice.org.uk/" TargetMode="External"/><Relationship Id="rId44" Type="http://schemas.openxmlformats.org/officeDocument/2006/relationships/hyperlink" Target="https://www.selondonics.org/icb/your-health/medicines/medicines-optimisation-teams/" TargetMode="External"/><Relationship Id="rId52" Type="http://schemas.openxmlformats.org/officeDocument/2006/relationships/hyperlink" Target="https://www.england.nhs.uk/wp-content/uploads/2018/03/otc-guidance-for-ccg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wp-content/uploads/2018/03/otc-guidance-for-ccgs.pdf" TargetMode="External"/><Relationship Id="rId22" Type="http://schemas.openxmlformats.org/officeDocument/2006/relationships/hyperlink" Target="https://www.england.nhs.uk/medicines-2/conditions-for-which-over-the-counter-items-should-not-routinely-be-prescribed/conditions-for-which-over-the-counter-items-should-not-routinely-be-prescribed-in-primary-care-implementation-resources/faqs/" TargetMode="External"/><Relationship Id="rId27" Type="http://schemas.openxmlformats.org/officeDocument/2006/relationships/hyperlink" Target="http://www.selondonics.org/selimoc-paediatricguidelines" TargetMode="External"/><Relationship Id="rId30" Type="http://schemas.openxmlformats.org/officeDocument/2006/relationships/hyperlink" Target="https://www.nice.org.uk/guidance/cg100" TargetMode="External"/><Relationship Id="rId35" Type="http://schemas.openxmlformats.org/officeDocument/2006/relationships/hyperlink" Target="https://www.nhs.uk/" TargetMode="External"/><Relationship Id="rId43" Type="http://schemas.openxmlformats.org/officeDocument/2006/relationships/hyperlink" Target="https://www.selondonics.org/icb/your-health/medicines/medicines-optimisation-teams/" TargetMode="External"/><Relationship Id="rId48" Type="http://schemas.openxmlformats.org/officeDocument/2006/relationships/hyperlink" Target="https://www.sps.nhs.uk/articles/rmoc-guidance-homely-remedies/" TargetMode="External"/><Relationship Id="rId8" Type="http://schemas.openxmlformats.org/officeDocument/2006/relationships/settings" Target="settings.xml"/><Relationship Id="rId51" Type="http://schemas.openxmlformats.org/officeDocument/2006/relationships/hyperlink" Target="https://www.england.nhs.uk/wp-content/uploads/2018/03/otc-guidance-for-ccgs.pdf" TargetMode="External"/><Relationship Id="rId3" Type="http://schemas.openxmlformats.org/officeDocument/2006/relationships/customXml" Target="../customXml/item3.xml"/><Relationship Id="rId12" Type="http://schemas.openxmlformats.org/officeDocument/2006/relationships/hyperlink" Target="https://www.engage.england.nhs.uk/consultation/over-the-counter-items-not-routinely-prescribed/" TargetMode="External"/><Relationship Id="rId17" Type="http://schemas.openxmlformats.org/officeDocument/2006/relationships/footer" Target="footer1.xml"/><Relationship Id="rId25" Type="http://schemas.openxmlformats.org/officeDocument/2006/relationships/hyperlink" Target="https://assets.publishing.service.gov.uk/government/uploads/system/uploads/attachment_data/file/803956/supporting-pupils-at-school-with-medical-conditions.pdf" TargetMode="External"/><Relationship Id="rId33" Type="http://schemas.openxmlformats.org/officeDocument/2006/relationships/hyperlink" Target="https://www.england.nhs.uk/wp-content/uploads/2017/11/sps-homeopathy.pdf" TargetMode="External"/><Relationship Id="rId38" Type="http://schemas.openxmlformats.org/officeDocument/2006/relationships/hyperlink" Target="http://www.selondonics.org/selimoc-selfcare" TargetMode="External"/><Relationship Id="rId46" Type="http://schemas.openxmlformats.org/officeDocument/2006/relationships/hyperlink" Target="https://www.england.nhs.uk/wp-content/uploads/2019/01/otc-gms-gp-practice-letter.pdf" TargetMode="External"/><Relationship Id="rId20" Type="http://schemas.openxmlformats.org/officeDocument/2006/relationships/hyperlink" Target="https://www.england.nhs.uk/primary-care/pharmacy/medicines-optimisation-in-care-homes/" TargetMode="External"/><Relationship Id="rId41" Type="http://schemas.openxmlformats.org/officeDocument/2006/relationships/hyperlink" Target="https://www.selondonics.org/icb/your-health/medicines/medicines-optimisation-team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prescqipp.info/media/3923/227-over-the-counter-items-21.pdf" TargetMode="External"/><Relationship Id="rId23" Type="http://schemas.openxmlformats.org/officeDocument/2006/relationships/hyperlink" Target="https://assets.publishing.service.gov.uk/government/uploads/system/uploads/attachment_data/file/974907/EYFS_framework_-_March_2021.pdf" TargetMode="External"/><Relationship Id="rId28" Type="http://schemas.openxmlformats.org/officeDocument/2006/relationships/hyperlink" Target="http://www.selondonics.org/selimoc-lowpriorityproducts" TargetMode="External"/><Relationship Id="rId36" Type="http://schemas.openxmlformats.org/officeDocument/2006/relationships/hyperlink" Target="https://www.selondonics.org/icb/" TargetMode="External"/><Relationship Id="rId49" Type="http://schemas.openxmlformats.org/officeDocument/2006/relationships/hyperlink" Target="https://www.gov.uk/government/news/phe-publishes-new-advice-on-vitami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65629fe-fa3b-4d8f-b0ac-4a13011ce303" ContentTypeId="0x0101009CEB1DA2CC907747900298E7F35D742E"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FF844-B8D2-45D8-A3ED-F46BCA025A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53DD5-5A0F-451D-A38A-518647D0BF17}">
  <ds:schemaRefs>
    <ds:schemaRef ds:uri="http://schemas.microsoft.com/sharepoint/v3/contenttype/forms"/>
  </ds:schemaRefs>
</ds:datastoreItem>
</file>

<file path=customXml/itemProps3.xml><?xml version="1.0" encoding="utf-8"?>
<ds:datastoreItem xmlns:ds="http://schemas.openxmlformats.org/officeDocument/2006/customXml" ds:itemID="{EA50A003-92BF-47FE-8D49-9EEF8E3C6435}">
  <ds:schemaRefs>
    <ds:schemaRef ds:uri="Microsoft.SharePoint.Taxonomy.ContentTypeSync"/>
  </ds:schemaRefs>
</ds:datastoreItem>
</file>

<file path=customXml/itemProps4.xml><?xml version="1.0" encoding="utf-8"?>
<ds:datastoreItem xmlns:ds="http://schemas.openxmlformats.org/officeDocument/2006/customXml" ds:itemID="{15E81F3B-3A87-4AB8-A3DF-7B4E3DE2C19A}">
  <ds:schemaRefs>
    <ds:schemaRef ds:uri="http://schemas.openxmlformats.org/officeDocument/2006/bibliography"/>
  </ds:schemaRefs>
</ds:datastoreItem>
</file>

<file path=customXml/itemProps5.xml><?xml version="1.0" encoding="utf-8"?>
<ds:datastoreItem xmlns:ds="http://schemas.openxmlformats.org/officeDocument/2006/customXml" ds:itemID="{745C3118-F6F6-4C4C-82E6-8919B6F7C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3093</Words>
  <Characters>17634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Mullaney</dc:creator>
  <cp:keywords/>
  <dc:description/>
  <cp:lastModifiedBy>Barbara Parkinson (NHS South East London ICB)</cp:lastModifiedBy>
  <cp:revision>47</cp:revision>
  <dcterms:created xsi:type="dcterms:W3CDTF">2022-08-23T09:23:00Z</dcterms:created>
  <dcterms:modified xsi:type="dcterms:W3CDTF">2023-03-03T11:55:00Z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0x01010009DF25CF94082642959723941C1AE33300F460C71BEC84A9429E7ACA6108655BBE</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