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9AD7" w14:textId="77777777" w:rsidR="006D4248" w:rsidRPr="00387F17" w:rsidRDefault="006D4248" w:rsidP="00553F94">
      <w:pPr>
        <w:pStyle w:val="Title"/>
        <w:jc w:val="left"/>
        <w:rPr>
          <w:rFonts w:ascii="Arial" w:hAnsi="Arial" w:cs="Arial"/>
          <w:kern w:val="0"/>
          <w:sz w:val="24"/>
          <w:szCs w:val="24"/>
        </w:rPr>
      </w:pPr>
    </w:p>
    <w:p w14:paraId="691DF675" w14:textId="77777777" w:rsidR="006D4248" w:rsidRPr="000D2211" w:rsidRDefault="006D4248" w:rsidP="00553F94">
      <w:pPr>
        <w:pStyle w:val="Title"/>
        <w:pBdr>
          <w:top w:val="single" w:sz="4" w:space="1" w:color="auto"/>
          <w:left w:val="single" w:sz="4" w:space="4" w:color="auto"/>
          <w:bottom w:val="single" w:sz="4" w:space="1" w:color="auto"/>
          <w:right w:val="single" w:sz="4" w:space="4" w:color="auto"/>
        </w:pBdr>
        <w:shd w:val="clear" w:color="auto" w:fill="FFFFCC"/>
        <w:ind w:right="-1"/>
        <w:rPr>
          <w:rFonts w:ascii="Arial" w:hAnsi="Arial" w:cs="Arial"/>
          <w:kern w:val="0"/>
          <w:sz w:val="28"/>
          <w:szCs w:val="24"/>
        </w:rPr>
      </w:pPr>
      <w:r w:rsidRPr="000D2211">
        <w:rPr>
          <w:rFonts w:ascii="Arial" w:hAnsi="Arial" w:cs="Arial"/>
          <w:kern w:val="0"/>
          <w:sz w:val="28"/>
          <w:szCs w:val="24"/>
        </w:rPr>
        <w:t>SHARED CARE PRESCRIBING GUIDELINE</w:t>
      </w:r>
    </w:p>
    <w:p w14:paraId="3D84C3DD" w14:textId="1ECDFB61" w:rsidR="00834C7C" w:rsidRPr="000D2211" w:rsidRDefault="00387F17" w:rsidP="00553F94">
      <w:pPr>
        <w:pStyle w:val="Title"/>
        <w:pBdr>
          <w:top w:val="single" w:sz="4" w:space="1" w:color="auto"/>
          <w:left w:val="single" w:sz="4" w:space="4" w:color="auto"/>
          <w:bottom w:val="single" w:sz="4" w:space="1" w:color="auto"/>
          <w:right w:val="single" w:sz="4" w:space="4" w:color="auto"/>
        </w:pBdr>
        <w:shd w:val="clear" w:color="auto" w:fill="FFFFCC"/>
        <w:ind w:right="-1"/>
        <w:rPr>
          <w:rFonts w:ascii="Arial" w:hAnsi="Arial" w:cs="Arial"/>
          <w:sz w:val="28"/>
          <w:szCs w:val="24"/>
        </w:rPr>
      </w:pPr>
      <w:r w:rsidRPr="000D2211">
        <w:rPr>
          <w:rFonts w:ascii="Arial" w:hAnsi="Arial" w:cs="Arial"/>
          <w:kern w:val="0"/>
          <w:sz w:val="28"/>
          <w:szCs w:val="24"/>
          <w:lang w:val="en-GB"/>
        </w:rPr>
        <w:t>A</w:t>
      </w:r>
      <w:r w:rsidR="00E407F6" w:rsidRPr="000D2211">
        <w:rPr>
          <w:rFonts w:ascii="Arial" w:hAnsi="Arial" w:cs="Arial"/>
          <w:kern w:val="0"/>
          <w:sz w:val="28"/>
          <w:szCs w:val="24"/>
          <w:lang w:val="en-GB"/>
        </w:rPr>
        <w:t>ripiprazole</w:t>
      </w:r>
      <w:r w:rsidR="004C1407" w:rsidRPr="000D2211">
        <w:rPr>
          <w:rFonts w:ascii="Arial" w:hAnsi="Arial" w:cs="Arial"/>
          <w:kern w:val="0"/>
          <w:sz w:val="28"/>
          <w:szCs w:val="24"/>
          <w:lang w:val="en-GB"/>
        </w:rPr>
        <w:t xml:space="preserve"> </w:t>
      </w:r>
      <w:r w:rsidR="00F95BA2" w:rsidRPr="000D2211">
        <w:rPr>
          <w:rFonts w:ascii="Arial" w:hAnsi="Arial" w:cs="Arial"/>
          <w:kern w:val="0"/>
          <w:sz w:val="28"/>
          <w:szCs w:val="24"/>
          <w:lang w:val="en-GB"/>
        </w:rPr>
        <w:t xml:space="preserve">long-acting injection </w:t>
      </w:r>
      <w:r w:rsidR="006D4248" w:rsidRPr="000D2211">
        <w:rPr>
          <w:rFonts w:ascii="Arial" w:hAnsi="Arial" w:cs="Arial"/>
          <w:kern w:val="0"/>
          <w:sz w:val="28"/>
          <w:szCs w:val="24"/>
          <w:lang w:val="en-GB"/>
        </w:rPr>
        <w:t xml:space="preserve">for the treatment of </w:t>
      </w:r>
      <w:r w:rsidR="00E407F6" w:rsidRPr="000D2211">
        <w:rPr>
          <w:rFonts w:ascii="Arial" w:hAnsi="Arial" w:cs="Arial"/>
          <w:kern w:val="0"/>
          <w:sz w:val="28"/>
          <w:szCs w:val="24"/>
          <w:lang w:val="en-GB"/>
        </w:rPr>
        <w:t>schizophrenia</w:t>
      </w:r>
      <w:r w:rsidR="006D4248" w:rsidRPr="000D2211">
        <w:rPr>
          <w:rFonts w:ascii="Arial" w:hAnsi="Arial" w:cs="Arial"/>
          <w:kern w:val="0"/>
          <w:sz w:val="28"/>
          <w:szCs w:val="24"/>
          <w:lang w:val="en-GB"/>
        </w:rPr>
        <w:t xml:space="preserve"> in</w:t>
      </w:r>
      <w:r w:rsidR="002F1BB4" w:rsidRPr="000D2211">
        <w:rPr>
          <w:rFonts w:ascii="Arial" w:hAnsi="Arial" w:cs="Arial"/>
          <w:kern w:val="0"/>
          <w:sz w:val="28"/>
          <w:szCs w:val="24"/>
          <w:lang w:val="en-GB"/>
        </w:rPr>
        <w:t xml:space="preserve"> adults</w:t>
      </w:r>
    </w:p>
    <w:p w14:paraId="295ADB90" w14:textId="77777777" w:rsidR="006D4248" w:rsidRPr="006C4EA3" w:rsidRDefault="006D4248" w:rsidP="0002013F">
      <w:pPr>
        <w:pStyle w:val="Title"/>
        <w:jc w:val="lef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1A08BF" w:rsidRPr="00586016" w14:paraId="039476DA" w14:textId="77777777" w:rsidTr="002132CF">
        <w:trPr>
          <w:trHeight w:val="654"/>
          <w:jc w:val="center"/>
        </w:trPr>
        <w:tc>
          <w:tcPr>
            <w:tcW w:w="10466" w:type="dxa"/>
            <w:shd w:val="clear" w:color="auto" w:fill="FFFFCC"/>
          </w:tcPr>
          <w:p w14:paraId="1DA5FAD5" w14:textId="77777777" w:rsidR="001A08BF" w:rsidRPr="00D83833" w:rsidRDefault="001A08BF" w:rsidP="00176769">
            <w:pPr>
              <w:pStyle w:val="Subtitle"/>
              <w:rPr>
                <w:rFonts w:ascii="Arial" w:hAnsi="Arial" w:cs="Arial"/>
                <w:b/>
                <w:bCs/>
                <w:color w:val="595959"/>
                <w:sz w:val="36"/>
                <w:szCs w:val="36"/>
                <w:lang w:val="en-GB"/>
              </w:rPr>
            </w:pPr>
            <w:r w:rsidRPr="00D83833">
              <w:rPr>
                <w:rFonts w:ascii="Arial" w:hAnsi="Arial" w:cs="Arial"/>
                <w:b/>
                <w:bCs/>
                <w:color w:val="595959"/>
                <w:sz w:val="36"/>
                <w:szCs w:val="36"/>
                <w:lang w:val="en-GB"/>
              </w:rPr>
              <w:t>NOTES to the GP</w:t>
            </w:r>
          </w:p>
        </w:tc>
      </w:tr>
      <w:tr w:rsidR="001A08BF" w14:paraId="486B862C" w14:textId="77777777" w:rsidTr="00553F94">
        <w:trPr>
          <w:jc w:val="center"/>
        </w:trPr>
        <w:tc>
          <w:tcPr>
            <w:tcW w:w="10466" w:type="dxa"/>
          </w:tcPr>
          <w:p w14:paraId="71A048E2" w14:textId="77777777" w:rsidR="001A08BF" w:rsidRPr="006D7BA1" w:rsidRDefault="001A08BF" w:rsidP="00176769">
            <w:pPr>
              <w:pStyle w:val="Subtitle"/>
              <w:rPr>
                <w:rFonts w:ascii="Arial" w:hAnsi="Arial" w:cs="Arial"/>
                <w:b/>
                <w:bCs/>
                <w:sz w:val="20"/>
                <w:szCs w:val="20"/>
                <w:lang w:val="en-GB"/>
              </w:rPr>
            </w:pPr>
          </w:p>
          <w:p w14:paraId="2D18EF14" w14:textId="781C133A" w:rsidR="001A08BF" w:rsidRDefault="001A08BF" w:rsidP="00176769">
            <w:pPr>
              <w:pStyle w:val="BodyText3"/>
              <w:jc w:val="both"/>
              <w:rPr>
                <w:rFonts w:ascii="Arial" w:hAnsi="Arial" w:cs="Arial"/>
                <w:sz w:val="20"/>
                <w:szCs w:val="20"/>
                <w:lang w:val="en-GB"/>
              </w:rPr>
            </w:pPr>
            <w:r w:rsidRPr="006D7BA1">
              <w:rPr>
                <w:rFonts w:ascii="Arial" w:hAnsi="Arial" w:cs="Arial"/>
                <w:sz w:val="20"/>
                <w:szCs w:val="20"/>
                <w:lang w:val="en-GB"/>
              </w:rPr>
              <w:t>The information in the shared care guideline has been</w:t>
            </w:r>
            <w:r w:rsidR="002132CF">
              <w:rPr>
                <w:rFonts w:ascii="Arial" w:hAnsi="Arial" w:cs="Arial"/>
                <w:sz w:val="20"/>
                <w:szCs w:val="20"/>
                <w:lang w:val="en-GB"/>
              </w:rPr>
              <w:t xml:space="preserve"> developed in consultation with</w:t>
            </w:r>
            <w:r>
              <w:rPr>
                <w:rFonts w:ascii="Arial" w:hAnsi="Arial" w:cs="Arial"/>
                <w:sz w:val="20"/>
                <w:szCs w:val="20"/>
                <w:lang w:val="en-GB"/>
              </w:rPr>
              <w:t xml:space="preserve"> South East London</w:t>
            </w:r>
            <w:r w:rsidRPr="006D7BA1">
              <w:rPr>
                <w:rFonts w:ascii="Arial" w:hAnsi="Arial" w:cs="Arial"/>
                <w:sz w:val="20"/>
                <w:szCs w:val="20"/>
                <w:lang w:val="en-GB"/>
              </w:rPr>
              <w:t xml:space="preserve"> </w:t>
            </w:r>
            <w:r w:rsidR="002132CF">
              <w:rPr>
                <w:rFonts w:ascii="Arial" w:hAnsi="Arial" w:cs="Arial"/>
                <w:sz w:val="20"/>
                <w:szCs w:val="20"/>
                <w:lang w:val="en-GB"/>
              </w:rPr>
              <w:t xml:space="preserve">CCG </w:t>
            </w:r>
            <w:r w:rsidRPr="006D7BA1">
              <w:rPr>
                <w:rFonts w:ascii="Arial" w:hAnsi="Arial" w:cs="Arial"/>
                <w:sz w:val="20"/>
                <w:szCs w:val="20"/>
                <w:lang w:val="en-GB"/>
              </w:rPr>
              <w:t>and it has been agreed that it is suitable for shared care.</w:t>
            </w:r>
          </w:p>
          <w:p w14:paraId="3098982D" w14:textId="77777777" w:rsidR="001A08BF" w:rsidRPr="006D7BA1" w:rsidRDefault="001A08BF" w:rsidP="00176769">
            <w:pPr>
              <w:pStyle w:val="BodyText3"/>
              <w:jc w:val="both"/>
              <w:rPr>
                <w:rFonts w:ascii="Arial" w:hAnsi="Arial" w:cs="Arial"/>
                <w:sz w:val="20"/>
                <w:szCs w:val="20"/>
                <w:lang w:val="en-GB"/>
              </w:rPr>
            </w:pPr>
          </w:p>
          <w:p w14:paraId="6912BBE1" w14:textId="35733C89" w:rsidR="001A08BF" w:rsidRPr="00280958" w:rsidRDefault="001A08BF" w:rsidP="00176769">
            <w:pPr>
              <w:pStyle w:val="BodyText3"/>
              <w:jc w:val="both"/>
              <w:rPr>
                <w:rFonts w:ascii="Arial" w:hAnsi="Arial" w:cs="Arial"/>
                <w:sz w:val="20"/>
                <w:szCs w:val="20"/>
                <w:lang w:val="en-GB"/>
              </w:rPr>
            </w:pPr>
            <w:r w:rsidRPr="00280958">
              <w:rPr>
                <w:rFonts w:ascii="Arial" w:hAnsi="Arial" w:cs="Arial"/>
                <w:sz w:val="20"/>
                <w:szCs w:val="20"/>
                <w:lang w:val="en-GB"/>
              </w:rPr>
              <w:t xml:space="preserve">This document should provide sufficient information to enable you to make an informed decision regarding the clinical and legal responsibility for prescribing </w:t>
            </w:r>
            <w:r>
              <w:rPr>
                <w:rFonts w:ascii="Arial" w:hAnsi="Arial" w:cs="Arial"/>
                <w:b/>
                <w:sz w:val="20"/>
                <w:szCs w:val="20"/>
                <w:lang w:val="en-GB"/>
              </w:rPr>
              <w:t xml:space="preserve">aripiprazole </w:t>
            </w:r>
            <w:r w:rsidR="00FA03F3">
              <w:rPr>
                <w:rFonts w:ascii="Arial" w:hAnsi="Arial" w:cs="Arial"/>
                <w:b/>
                <w:sz w:val="20"/>
                <w:szCs w:val="20"/>
                <w:lang w:val="en-GB"/>
              </w:rPr>
              <w:t xml:space="preserve">long-acting injection </w:t>
            </w:r>
            <w:r w:rsidRPr="00280958">
              <w:rPr>
                <w:rFonts w:ascii="Arial" w:hAnsi="Arial" w:cs="Arial"/>
                <w:sz w:val="20"/>
                <w:szCs w:val="20"/>
                <w:lang w:val="en-GB"/>
              </w:rPr>
              <w:t>for the treatment of</w:t>
            </w:r>
            <w:r w:rsidRPr="00280958">
              <w:rPr>
                <w:rFonts w:ascii="Arial" w:hAnsi="Arial" w:cs="Arial"/>
                <w:b/>
                <w:sz w:val="20"/>
                <w:szCs w:val="20"/>
                <w:lang w:val="en-GB"/>
              </w:rPr>
              <w:t xml:space="preserve"> </w:t>
            </w:r>
            <w:r>
              <w:rPr>
                <w:rFonts w:ascii="Arial" w:hAnsi="Arial" w:cs="Arial"/>
                <w:b/>
                <w:sz w:val="20"/>
                <w:szCs w:val="20"/>
                <w:lang w:val="en-GB"/>
              </w:rPr>
              <w:t>schizophre</w:t>
            </w:r>
            <w:r w:rsidR="002E0827">
              <w:rPr>
                <w:rFonts w:ascii="Arial" w:hAnsi="Arial" w:cs="Arial"/>
                <w:b/>
                <w:sz w:val="20"/>
                <w:szCs w:val="20"/>
                <w:lang w:val="en-GB"/>
              </w:rPr>
              <w:t>n</w:t>
            </w:r>
            <w:r>
              <w:rPr>
                <w:rFonts w:ascii="Arial" w:hAnsi="Arial" w:cs="Arial"/>
                <w:b/>
                <w:sz w:val="20"/>
                <w:szCs w:val="20"/>
                <w:lang w:val="en-GB"/>
              </w:rPr>
              <w:t>ia in adults.</w:t>
            </w:r>
          </w:p>
          <w:p w14:paraId="0EBE9629" w14:textId="77777777" w:rsidR="001A08BF" w:rsidRPr="006D7BA1" w:rsidRDefault="001A08BF" w:rsidP="00176769">
            <w:pPr>
              <w:pStyle w:val="BodyText3"/>
              <w:spacing w:before="120"/>
              <w:jc w:val="both"/>
              <w:rPr>
                <w:rFonts w:ascii="Arial" w:hAnsi="Arial" w:cs="Arial"/>
                <w:sz w:val="20"/>
                <w:szCs w:val="20"/>
              </w:rPr>
            </w:pPr>
            <w:r w:rsidRPr="006D7BA1">
              <w:rPr>
                <w:rFonts w:ascii="Arial" w:hAnsi="Arial" w:cs="Arial"/>
                <w:sz w:val="20"/>
                <w:szCs w:val="20"/>
              </w:rPr>
              <w:t xml:space="preserve">The questions below will help you confirm this:  </w:t>
            </w:r>
          </w:p>
          <w:p w14:paraId="40935A31" w14:textId="77777777" w:rsidR="001A08BF" w:rsidRPr="00085E3B" w:rsidRDefault="001A08BF" w:rsidP="00176769">
            <w:pPr>
              <w:numPr>
                <w:ilvl w:val="0"/>
                <w:numId w:val="3"/>
              </w:numPr>
              <w:jc w:val="both"/>
              <w:rPr>
                <w:rFonts w:ascii="Arial" w:hAnsi="Arial" w:cs="Arial"/>
                <w:sz w:val="20"/>
                <w:szCs w:val="20"/>
              </w:rPr>
            </w:pPr>
            <w:r w:rsidRPr="00085E3B">
              <w:rPr>
                <w:rFonts w:ascii="Arial" w:hAnsi="Arial" w:cs="Arial"/>
                <w:sz w:val="20"/>
                <w:szCs w:val="20"/>
              </w:rPr>
              <w:t>Is the patient’s condition predictable or stable?</w:t>
            </w:r>
          </w:p>
          <w:p w14:paraId="6FF7E596" w14:textId="77777777" w:rsidR="001A08BF" w:rsidRPr="00085E3B" w:rsidRDefault="001A08BF" w:rsidP="00176769">
            <w:pPr>
              <w:numPr>
                <w:ilvl w:val="0"/>
                <w:numId w:val="3"/>
              </w:numPr>
              <w:jc w:val="both"/>
              <w:rPr>
                <w:rFonts w:ascii="Arial" w:hAnsi="Arial" w:cs="Arial"/>
                <w:sz w:val="20"/>
                <w:szCs w:val="20"/>
              </w:rPr>
            </w:pPr>
            <w:r w:rsidRPr="00085E3B">
              <w:rPr>
                <w:rFonts w:ascii="Arial" w:hAnsi="Arial" w:cs="Arial"/>
                <w:sz w:val="20"/>
                <w:szCs w:val="20"/>
              </w:rPr>
              <w:t xml:space="preserve">Do you have the relevant knowledge, </w:t>
            </w:r>
            <w:proofErr w:type="gramStart"/>
            <w:r w:rsidRPr="00085E3B">
              <w:rPr>
                <w:rFonts w:ascii="Arial" w:hAnsi="Arial" w:cs="Arial"/>
                <w:sz w:val="20"/>
                <w:szCs w:val="20"/>
              </w:rPr>
              <w:t>skills</w:t>
            </w:r>
            <w:proofErr w:type="gramEnd"/>
            <w:r w:rsidRPr="00085E3B">
              <w:rPr>
                <w:rFonts w:ascii="Arial" w:hAnsi="Arial" w:cs="Arial"/>
                <w:sz w:val="20"/>
                <w:szCs w:val="20"/>
              </w:rPr>
              <w:t xml:space="preserve"> and access to equipment to allow you to monitor treatment as indicated in this shared care prescribing guideline?  </w:t>
            </w:r>
          </w:p>
          <w:p w14:paraId="142F98E4" w14:textId="77777777" w:rsidR="001A08BF" w:rsidRDefault="001A08BF" w:rsidP="00176769">
            <w:pPr>
              <w:numPr>
                <w:ilvl w:val="0"/>
                <w:numId w:val="3"/>
              </w:numPr>
              <w:jc w:val="both"/>
              <w:rPr>
                <w:rFonts w:ascii="Arial" w:hAnsi="Arial" w:cs="Arial"/>
                <w:sz w:val="20"/>
                <w:szCs w:val="20"/>
              </w:rPr>
            </w:pPr>
            <w:r w:rsidRPr="00085E3B">
              <w:rPr>
                <w:rFonts w:ascii="Arial" w:hAnsi="Arial" w:cs="Arial"/>
                <w:sz w:val="20"/>
                <w:szCs w:val="20"/>
              </w:rPr>
              <w:t>Have you been provided with relevant clinical details including monitoring data?</w:t>
            </w:r>
          </w:p>
          <w:p w14:paraId="01091DCD" w14:textId="77777777" w:rsidR="001A08BF" w:rsidRPr="00085E3B" w:rsidRDefault="001A08BF" w:rsidP="00176769">
            <w:pPr>
              <w:jc w:val="both"/>
              <w:rPr>
                <w:rFonts w:ascii="Arial" w:hAnsi="Arial" w:cs="Arial"/>
                <w:sz w:val="20"/>
                <w:szCs w:val="20"/>
              </w:rPr>
            </w:pPr>
          </w:p>
          <w:p w14:paraId="55C8F313" w14:textId="77777777" w:rsidR="001A08BF" w:rsidRPr="006D7BA1" w:rsidRDefault="001A08BF" w:rsidP="00176769">
            <w:pPr>
              <w:pStyle w:val="BodyText3"/>
              <w:jc w:val="both"/>
              <w:rPr>
                <w:rFonts w:ascii="Arial" w:hAnsi="Arial" w:cs="Arial"/>
                <w:sz w:val="20"/>
                <w:szCs w:val="20"/>
              </w:rPr>
            </w:pPr>
            <w:r w:rsidRPr="006D7BA1">
              <w:rPr>
                <w:rFonts w:ascii="Arial" w:hAnsi="Arial" w:cs="Arial"/>
                <w:b/>
                <w:bCs/>
                <w:sz w:val="20"/>
                <w:szCs w:val="20"/>
              </w:rPr>
              <w:t>If you can answer YES to all these questions</w:t>
            </w:r>
            <w:r w:rsidRPr="006D7BA1">
              <w:rPr>
                <w:rFonts w:ascii="Arial" w:hAnsi="Arial" w:cs="Arial"/>
                <w:sz w:val="20"/>
                <w:szCs w:val="20"/>
              </w:rPr>
              <w:t xml:space="preserve"> (after reading this shared care guideline), then it is appropriate for you to accept prescribing responsibility.</w:t>
            </w:r>
          </w:p>
          <w:p w14:paraId="19220330" w14:textId="77777777" w:rsidR="001A08BF" w:rsidRPr="006D7BA1" w:rsidRDefault="001A08BF" w:rsidP="00176769">
            <w:pPr>
              <w:pStyle w:val="BodyText3"/>
              <w:jc w:val="both"/>
              <w:rPr>
                <w:rFonts w:ascii="Arial" w:hAnsi="Arial" w:cs="Arial"/>
                <w:sz w:val="20"/>
                <w:szCs w:val="20"/>
              </w:rPr>
            </w:pPr>
          </w:p>
          <w:p w14:paraId="48E0FADD" w14:textId="7AAB7BEE" w:rsidR="001A08BF" w:rsidRPr="006D7BA1" w:rsidRDefault="001A08BF" w:rsidP="00176769">
            <w:pPr>
              <w:pStyle w:val="BodyText3"/>
              <w:jc w:val="both"/>
              <w:rPr>
                <w:rFonts w:ascii="Arial" w:hAnsi="Arial" w:cs="Arial"/>
                <w:sz w:val="20"/>
                <w:szCs w:val="20"/>
                <w:lang w:val="en-GB"/>
              </w:rPr>
            </w:pPr>
            <w:r w:rsidRPr="006D7BA1">
              <w:rPr>
                <w:rFonts w:ascii="Arial" w:hAnsi="Arial" w:cs="Arial"/>
                <w:b/>
                <w:bCs/>
                <w:sz w:val="20"/>
                <w:szCs w:val="20"/>
              </w:rPr>
              <w:t>If the answer is NO to any of these questions</w:t>
            </w:r>
            <w:r w:rsidRPr="006D7BA1">
              <w:rPr>
                <w:rFonts w:ascii="Arial" w:hAnsi="Arial" w:cs="Arial"/>
                <w:sz w:val="20"/>
                <w:szCs w:val="20"/>
              </w:rPr>
              <w:t xml:space="preserve"> you should contact the requesting consultant or your local </w:t>
            </w:r>
            <w:r w:rsidR="002132CF">
              <w:rPr>
                <w:rFonts w:ascii="Arial" w:hAnsi="Arial" w:cs="Arial"/>
                <w:sz w:val="20"/>
                <w:szCs w:val="20"/>
              </w:rPr>
              <w:t>Borough</w:t>
            </w:r>
            <w:r w:rsidRPr="006D7BA1">
              <w:rPr>
                <w:rFonts w:ascii="Arial" w:hAnsi="Arial" w:cs="Arial"/>
                <w:sz w:val="20"/>
                <w:szCs w:val="20"/>
              </w:rPr>
              <w:t xml:space="preserve"> Medicines Management Team. </w:t>
            </w:r>
            <w:r>
              <w:rPr>
                <w:rFonts w:ascii="Arial" w:hAnsi="Arial" w:cs="Arial"/>
                <w:sz w:val="20"/>
                <w:szCs w:val="20"/>
                <w:lang w:val="en-GB"/>
              </w:rPr>
              <w:t xml:space="preserve">There may be implications for the patient where the invitation to share care is declined. For example, the patient may need to be changed to an alternative treatment regimen. </w:t>
            </w:r>
            <w:r w:rsidRPr="006D7BA1">
              <w:rPr>
                <w:rFonts w:ascii="Arial" w:hAnsi="Arial" w:cs="Arial"/>
                <w:sz w:val="20"/>
                <w:szCs w:val="20"/>
                <w:lang w:val="en-GB"/>
              </w:rPr>
              <w:t xml:space="preserve">It would not normally be expected that shared care prescribing would be declined </w:t>
            </w:r>
            <w:proofErr w:type="gramStart"/>
            <w:r w:rsidRPr="006D7BA1">
              <w:rPr>
                <w:rFonts w:ascii="Arial" w:hAnsi="Arial" w:cs="Arial"/>
                <w:sz w:val="20"/>
                <w:szCs w:val="20"/>
                <w:lang w:val="en-GB"/>
              </w:rPr>
              <w:t>on the basis of</w:t>
            </w:r>
            <w:proofErr w:type="gramEnd"/>
            <w:r w:rsidRPr="006D7BA1">
              <w:rPr>
                <w:rFonts w:ascii="Arial" w:hAnsi="Arial" w:cs="Arial"/>
                <w:sz w:val="20"/>
                <w:szCs w:val="20"/>
                <w:lang w:val="en-GB"/>
              </w:rPr>
              <w:t xml:space="preserve"> cost. </w:t>
            </w:r>
          </w:p>
          <w:p w14:paraId="7A04D37D" w14:textId="77777777" w:rsidR="001A08BF" w:rsidRDefault="001A08BF" w:rsidP="00176769">
            <w:pPr>
              <w:jc w:val="both"/>
              <w:rPr>
                <w:rFonts w:ascii="Arial" w:hAnsi="Arial" w:cs="Arial"/>
                <w:sz w:val="20"/>
                <w:szCs w:val="20"/>
              </w:rPr>
            </w:pPr>
          </w:p>
          <w:p w14:paraId="26324F22" w14:textId="77777777" w:rsidR="001A08BF" w:rsidRPr="000A5AB8" w:rsidRDefault="001A08BF" w:rsidP="00176769">
            <w:pPr>
              <w:tabs>
                <w:tab w:val="right" w:pos="360"/>
                <w:tab w:val="left" w:pos="540"/>
              </w:tabs>
              <w:jc w:val="both"/>
              <w:rPr>
                <w:rFonts w:ascii="Arial" w:hAnsi="Arial"/>
                <w:snapToGrid w:val="0"/>
                <w:sz w:val="20"/>
                <w:szCs w:val="20"/>
              </w:rPr>
            </w:pPr>
            <w:r w:rsidRPr="000A5AB8">
              <w:rPr>
                <w:rFonts w:ascii="Arial" w:hAnsi="Arial"/>
                <w:snapToGrid w:val="0"/>
                <w:sz w:val="20"/>
                <w:szCs w:val="20"/>
              </w:rPr>
              <w:t xml:space="preserve">Sharing of care assumes communication between the specialist, </w:t>
            </w:r>
            <w:proofErr w:type="gramStart"/>
            <w:r w:rsidRPr="000A5AB8">
              <w:rPr>
                <w:rFonts w:ascii="Arial" w:hAnsi="Arial"/>
                <w:snapToGrid w:val="0"/>
                <w:sz w:val="20"/>
                <w:szCs w:val="20"/>
              </w:rPr>
              <w:t>GP</w:t>
            </w:r>
            <w:proofErr w:type="gramEnd"/>
            <w:r w:rsidRPr="000A5AB8">
              <w:rPr>
                <w:rFonts w:ascii="Arial" w:hAnsi="Arial"/>
                <w:snapToGrid w:val="0"/>
                <w:sz w:val="20"/>
                <w:szCs w:val="20"/>
              </w:rPr>
              <w:t xml:space="preserve"> and patient.  The intention to share care should be explained to the patient by the doctor initiating treatment.  </w:t>
            </w:r>
            <w:r w:rsidRPr="00F6562A">
              <w:rPr>
                <w:rFonts w:ascii="Arial" w:hAnsi="Arial"/>
                <w:b/>
                <w:snapToGrid w:val="0"/>
                <w:sz w:val="20"/>
                <w:szCs w:val="20"/>
              </w:rPr>
              <w:t xml:space="preserve">It is important that patients are consulted about treatment and </w:t>
            </w:r>
            <w:proofErr w:type="gramStart"/>
            <w:r w:rsidRPr="00F6562A">
              <w:rPr>
                <w:rFonts w:ascii="Arial" w:hAnsi="Arial"/>
                <w:b/>
                <w:snapToGrid w:val="0"/>
                <w:sz w:val="20"/>
                <w:szCs w:val="20"/>
              </w:rPr>
              <w:t>are in agreement</w:t>
            </w:r>
            <w:proofErr w:type="gramEnd"/>
            <w:r w:rsidRPr="00F6562A">
              <w:rPr>
                <w:rFonts w:ascii="Arial" w:hAnsi="Arial"/>
                <w:b/>
                <w:snapToGrid w:val="0"/>
                <w:sz w:val="20"/>
                <w:szCs w:val="20"/>
              </w:rPr>
              <w:t xml:space="preserve"> with it</w:t>
            </w:r>
            <w:r w:rsidRPr="000A5AB8">
              <w:rPr>
                <w:rFonts w:ascii="Arial" w:hAnsi="Arial"/>
                <w:snapToGrid w:val="0"/>
                <w:sz w:val="20"/>
                <w:szCs w:val="20"/>
              </w:rPr>
              <w:t xml:space="preserve">.  </w:t>
            </w:r>
          </w:p>
          <w:p w14:paraId="73129467" w14:textId="77777777" w:rsidR="001A08BF" w:rsidRDefault="001A08BF" w:rsidP="00176769">
            <w:pPr>
              <w:tabs>
                <w:tab w:val="right" w:pos="360"/>
                <w:tab w:val="left" w:pos="540"/>
              </w:tabs>
              <w:jc w:val="both"/>
              <w:rPr>
                <w:rFonts w:ascii="Arial" w:hAnsi="Arial"/>
                <w:snapToGrid w:val="0"/>
              </w:rPr>
            </w:pPr>
          </w:p>
          <w:p w14:paraId="2AD43771" w14:textId="77777777" w:rsidR="001A08BF" w:rsidRDefault="001A08BF" w:rsidP="00176769">
            <w:pPr>
              <w:jc w:val="both"/>
              <w:rPr>
                <w:rFonts w:ascii="Arial" w:hAnsi="Arial" w:cs="Arial"/>
                <w:sz w:val="20"/>
                <w:szCs w:val="20"/>
              </w:rPr>
            </w:pPr>
            <w:r>
              <w:rPr>
                <w:rFonts w:ascii="Arial" w:hAnsi="Arial" w:cs="Arial"/>
                <w:sz w:val="20"/>
                <w:szCs w:val="20"/>
              </w:rPr>
              <w:t xml:space="preserve">Prescribing should follow requirements in the South East London Interface Prescribing Policy. </w:t>
            </w:r>
          </w:p>
          <w:p w14:paraId="2A5FC5FD" w14:textId="77777777" w:rsidR="001A08BF" w:rsidRDefault="001A08BF" w:rsidP="00176769">
            <w:pPr>
              <w:rPr>
                <w:rFonts w:ascii="Arial" w:hAnsi="Arial" w:cs="Arial"/>
                <w:b/>
                <w:bCs/>
                <w:sz w:val="20"/>
                <w:szCs w:val="20"/>
              </w:rPr>
            </w:pPr>
            <w:r>
              <w:rPr>
                <w:rFonts w:ascii="Arial" w:hAnsi="Arial" w:cs="Arial"/>
                <w:b/>
                <w:bCs/>
                <w:sz w:val="20"/>
                <w:szCs w:val="20"/>
              </w:rPr>
              <w:t>The doctor who prescribes the medication legally assumes clinical responsibility for the drug and the consequences of its use.  The patient’s best interests are always paramount.</w:t>
            </w:r>
          </w:p>
          <w:p w14:paraId="373B4FE1" w14:textId="77777777" w:rsidR="001A08BF" w:rsidRDefault="001A08BF" w:rsidP="00176769">
            <w:pPr>
              <w:rPr>
                <w:rFonts w:ascii="Arial" w:hAnsi="Arial" w:cs="Arial"/>
                <w:b/>
                <w:bCs/>
                <w:sz w:val="20"/>
                <w:szCs w:val="20"/>
              </w:rPr>
            </w:pPr>
          </w:p>
          <w:p w14:paraId="797443D3" w14:textId="77777777" w:rsidR="001A08BF" w:rsidRDefault="001A08BF" w:rsidP="00176769">
            <w:pPr>
              <w:rPr>
                <w:rFonts w:ascii="Arial" w:hAnsi="Arial" w:cs="Arial"/>
                <w:b/>
                <w:bCs/>
                <w:sz w:val="20"/>
                <w:szCs w:val="20"/>
              </w:rPr>
            </w:pPr>
          </w:p>
          <w:p w14:paraId="7C5AF4BA" w14:textId="77777777" w:rsidR="001A08BF" w:rsidRPr="006140C0" w:rsidRDefault="001A08BF" w:rsidP="00176769">
            <w:pPr>
              <w:rPr>
                <w:rFonts w:ascii="Arial" w:hAnsi="Arial" w:cs="Arial"/>
                <w:b/>
                <w:bCs/>
                <w:sz w:val="24"/>
                <w:szCs w:val="24"/>
              </w:rPr>
            </w:pPr>
          </w:p>
        </w:tc>
      </w:tr>
    </w:tbl>
    <w:p w14:paraId="60071089" w14:textId="77777777" w:rsidR="001A08BF" w:rsidRDefault="001A08BF" w:rsidP="001A08BF"/>
    <w:p w14:paraId="0A124DB6" w14:textId="77777777" w:rsidR="001A08BF" w:rsidRDefault="001A08BF" w:rsidP="001A08BF">
      <w:pPr>
        <w:rPr>
          <w:rFonts w:ascii="Arial" w:hAnsi="Arial" w:cs="Arial"/>
          <w:b/>
          <w:bCs/>
          <w:sz w:val="24"/>
          <w:szCs w:val="24"/>
        </w:rPr>
      </w:pPr>
    </w:p>
    <w:p w14:paraId="7B3BEED8" w14:textId="77777777" w:rsidR="001A08BF" w:rsidRDefault="001A08BF" w:rsidP="001A08BF">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82447A">
        <w:rPr>
          <w:rFonts w:ascii="Arial" w:hAnsi="Arial" w:cs="Arial"/>
          <w:b/>
          <w:bCs/>
          <w:sz w:val="28"/>
          <w:szCs w:val="28"/>
        </w:rPr>
        <w:t xml:space="preserve">Once you have read the shared care guideline and considered the information above, </w:t>
      </w:r>
      <w:r w:rsidRPr="0082447A">
        <w:rPr>
          <w:rFonts w:ascii="Arial" w:hAnsi="Arial" w:cs="Arial"/>
          <w:b/>
          <w:bCs/>
          <w:color w:val="0000FF"/>
          <w:sz w:val="28"/>
          <w:szCs w:val="28"/>
        </w:rPr>
        <w:t xml:space="preserve">please complete the </w:t>
      </w:r>
      <w:r>
        <w:rPr>
          <w:rFonts w:ascii="Arial" w:hAnsi="Arial" w:cs="Arial"/>
          <w:b/>
          <w:bCs/>
          <w:color w:val="0000FF"/>
          <w:sz w:val="28"/>
          <w:szCs w:val="28"/>
        </w:rPr>
        <w:t xml:space="preserve">GP </w:t>
      </w:r>
      <w:r w:rsidRPr="0082447A">
        <w:rPr>
          <w:rFonts w:ascii="Arial" w:hAnsi="Arial" w:cs="Arial"/>
          <w:b/>
          <w:bCs/>
          <w:color w:val="0000FF"/>
          <w:sz w:val="28"/>
          <w:szCs w:val="28"/>
        </w:rPr>
        <w:t>decision form</w:t>
      </w:r>
      <w:r>
        <w:rPr>
          <w:rFonts w:ascii="Arial" w:hAnsi="Arial" w:cs="Arial"/>
          <w:b/>
          <w:bCs/>
          <w:sz w:val="28"/>
          <w:szCs w:val="28"/>
        </w:rPr>
        <w:t xml:space="preserve"> </w:t>
      </w:r>
      <w:r w:rsidRPr="0082447A">
        <w:rPr>
          <w:rFonts w:ascii="Arial" w:hAnsi="Arial" w:cs="Arial"/>
          <w:b/>
          <w:bCs/>
          <w:sz w:val="28"/>
          <w:szCs w:val="28"/>
        </w:rPr>
        <w:t xml:space="preserve">on the next page and email back to the requesting clinician if you </w:t>
      </w:r>
      <w:proofErr w:type="gramStart"/>
      <w:r w:rsidRPr="0082447A">
        <w:rPr>
          <w:rFonts w:ascii="Arial" w:hAnsi="Arial" w:cs="Arial"/>
          <w:b/>
          <w:bCs/>
          <w:sz w:val="28"/>
          <w:szCs w:val="28"/>
        </w:rPr>
        <w:t>are in agreement</w:t>
      </w:r>
      <w:proofErr w:type="gramEnd"/>
      <w:r w:rsidRPr="0082447A">
        <w:rPr>
          <w:rFonts w:ascii="Arial" w:hAnsi="Arial" w:cs="Arial"/>
          <w:b/>
          <w:bCs/>
          <w:sz w:val="28"/>
          <w:szCs w:val="28"/>
        </w:rPr>
        <w:t xml:space="preserve"> to participate in shared care.</w:t>
      </w:r>
    </w:p>
    <w:p w14:paraId="4546C95B" w14:textId="77777777" w:rsidR="001A08BF" w:rsidRDefault="001A08BF" w:rsidP="001A08BF">
      <w:pPr>
        <w:pBdr>
          <w:top w:val="single" w:sz="4" w:space="1" w:color="auto"/>
          <w:left w:val="single" w:sz="4" w:space="4" w:color="auto"/>
          <w:bottom w:val="single" w:sz="4" w:space="1" w:color="auto"/>
          <w:right w:val="single" w:sz="4" w:space="4" w:color="auto"/>
        </w:pBdr>
        <w:rPr>
          <w:rFonts w:ascii="Arial" w:hAnsi="Arial" w:cs="Arial"/>
          <w:b/>
          <w:bCs/>
          <w:sz w:val="28"/>
          <w:szCs w:val="28"/>
        </w:rPr>
      </w:pPr>
    </w:p>
    <w:p w14:paraId="47A78FAF" w14:textId="77777777" w:rsidR="001A08BF" w:rsidRDefault="001A08BF" w:rsidP="001A08BF">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D3403A">
        <w:t xml:space="preserve"> </w:t>
      </w:r>
      <w:r w:rsidRPr="00D3403A">
        <w:rPr>
          <w:rFonts w:ascii="Arial" w:hAnsi="Arial" w:cs="Arial"/>
          <w:b/>
          <w:bCs/>
          <w:sz w:val="28"/>
          <w:szCs w:val="28"/>
        </w:rPr>
        <w:t xml:space="preserve">If you are not in </w:t>
      </w:r>
      <w:proofErr w:type="gramStart"/>
      <w:r w:rsidRPr="00D3403A">
        <w:rPr>
          <w:rFonts w:ascii="Arial" w:hAnsi="Arial" w:cs="Arial"/>
          <w:b/>
          <w:bCs/>
          <w:sz w:val="28"/>
          <w:szCs w:val="28"/>
        </w:rPr>
        <w:t>agreement</w:t>
      </w:r>
      <w:proofErr w:type="gramEnd"/>
      <w:r w:rsidRPr="00D3403A">
        <w:rPr>
          <w:rFonts w:ascii="Arial" w:hAnsi="Arial" w:cs="Arial"/>
          <w:b/>
          <w:bCs/>
          <w:sz w:val="28"/>
          <w:szCs w:val="28"/>
        </w:rPr>
        <w:t xml:space="preserve"> please include reasons for this</w:t>
      </w:r>
      <w:r>
        <w:rPr>
          <w:rFonts w:ascii="Arial" w:hAnsi="Arial" w:cs="Arial"/>
          <w:b/>
          <w:bCs/>
          <w:sz w:val="28"/>
          <w:szCs w:val="28"/>
        </w:rPr>
        <w:t>.</w:t>
      </w:r>
    </w:p>
    <w:p w14:paraId="02400E6F" w14:textId="77777777" w:rsidR="00E10E86" w:rsidRPr="00D83833" w:rsidRDefault="00E10E86" w:rsidP="001A08BF">
      <w:pPr>
        <w:pBdr>
          <w:top w:val="single" w:sz="4" w:space="1" w:color="auto"/>
          <w:left w:val="single" w:sz="4" w:space="4" w:color="auto"/>
          <w:bottom w:val="single" w:sz="4" w:space="1" w:color="auto"/>
          <w:right w:val="single" w:sz="4" w:space="4" w:color="auto"/>
        </w:pBdr>
        <w:rPr>
          <w:rFonts w:ascii="Arial" w:hAnsi="Arial" w:cs="Arial"/>
          <w:b/>
          <w:bCs/>
          <w:sz w:val="28"/>
          <w:szCs w:val="28"/>
        </w:rPr>
      </w:pPr>
    </w:p>
    <w:p w14:paraId="6E767457" w14:textId="77777777" w:rsidR="00834C7C" w:rsidRDefault="00834C7C" w:rsidP="00E10E86">
      <w:pPr>
        <w:rPr>
          <w:sz w:val="24"/>
          <w:szCs w:val="24"/>
        </w:rPr>
      </w:pPr>
      <w:r w:rsidRPr="00387F17">
        <w:rPr>
          <w:rFonts w:ascii="Arial" w:hAnsi="Arial" w:cs="Arial"/>
          <w:b/>
          <w:sz w:val="24"/>
          <w:szCs w:val="24"/>
        </w:rPr>
        <w:tab/>
      </w:r>
      <w:r w:rsidRPr="00387F17">
        <w:rPr>
          <w:rFonts w:ascii="Arial" w:hAnsi="Arial" w:cs="Arial"/>
          <w:b/>
          <w:sz w:val="24"/>
          <w:szCs w:val="24"/>
        </w:rPr>
        <w:tab/>
      </w:r>
      <w:r w:rsidRPr="00387F17">
        <w:rPr>
          <w:sz w:val="24"/>
          <w:szCs w:val="24"/>
        </w:rPr>
        <w:tab/>
      </w:r>
    </w:p>
    <w:p w14:paraId="515A1A67" w14:textId="77777777" w:rsidR="00553F94" w:rsidRDefault="00553F94" w:rsidP="00E10E86">
      <w:pPr>
        <w:rPr>
          <w:sz w:val="24"/>
          <w:szCs w:val="24"/>
        </w:rPr>
      </w:pPr>
    </w:p>
    <w:p w14:paraId="08B3C873" w14:textId="79B3D569" w:rsidR="00553F94" w:rsidRDefault="00553F94" w:rsidP="00E10E86">
      <w:pPr>
        <w:rPr>
          <w:noProof/>
          <w:sz w:val="24"/>
          <w:szCs w:val="24"/>
          <w:lang w:val="en-GB" w:eastAsia="en-GB"/>
        </w:rPr>
      </w:pPr>
    </w:p>
    <w:p w14:paraId="030F1841" w14:textId="77777777" w:rsidR="005C2F9F" w:rsidRDefault="005C2F9F" w:rsidP="00E10E86">
      <w:pPr>
        <w:rPr>
          <w:noProof/>
          <w:sz w:val="24"/>
          <w:szCs w:val="24"/>
          <w:lang w:val="en-GB" w:eastAsia="en-GB"/>
        </w:rPr>
      </w:pPr>
    </w:p>
    <w:p w14:paraId="741D8DE2" w14:textId="77777777" w:rsidR="0011162F" w:rsidRPr="00387F17" w:rsidRDefault="0011162F" w:rsidP="0082447A">
      <w:pPr>
        <w:ind w:left="2880" w:firstLine="720"/>
        <w:rPr>
          <w:sz w:val="24"/>
          <w:szCs w:val="24"/>
        </w:rPr>
      </w:pPr>
    </w:p>
    <w:p w14:paraId="2CD91A74" w14:textId="77777777" w:rsidR="001A08BF" w:rsidRDefault="001A08BF" w:rsidP="001A08BF">
      <w:pPr>
        <w:jc w:val="center"/>
        <w:rPr>
          <w:rFonts w:ascii="Arial" w:hAnsi="Arial" w:cs="Arial"/>
          <w:b/>
          <w:sz w:val="36"/>
          <w:szCs w:val="36"/>
        </w:rPr>
      </w:pPr>
      <w:r>
        <w:rPr>
          <w:rFonts w:ascii="Arial" w:hAnsi="Arial" w:cs="Arial"/>
          <w:b/>
          <w:sz w:val="36"/>
          <w:szCs w:val="36"/>
        </w:rPr>
        <w:lastRenderedPageBreak/>
        <w:t>GP DECISION FORM</w:t>
      </w:r>
    </w:p>
    <w:p w14:paraId="1FD897A7" w14:textId="67D1B7D9" w:rsidR="001A08BF" w:rsidRPr="005F3662" w:rsidRDefault="001A08BF" w:rsidP="001A08BF">
      <w:pPr>
        <w:tabs>
          <w:tab w:val="right" w:pos="360"/>
          <w:tab w:val="left" w:pos="540"/>
        </w:tabs>
        <w:ind w:left="-142" w:right="510"/>
        <w:jc w:val="both"/>
        <w:rPr>
          <w:rFonts w:ascii="Arial" w:hAnsi="Arial" w:cs="Arial"/>
          <w:sz w:val="20"/>
        </w:rPr>
      </w:pPr>
      <w:r w:rsidRPr="005F3662">
        <w:rPr>
          <w:rFonts w:ascii="Arial" w:hAnsi="Arial" w:cs="Arial"/>
          <w:sz w:val="20"/>
        </w:rPr>
        <w:t xml:space="preserve">This shared care agreement outlines suggested ways in which the responsibilities for managing the prescribing of </w:t>
      </w:r>
      <w:r w:rsidRPr="005F3662">
        <w:rPr>
          <w:rFonts w:ascii="Arial" w:hAnsi="Arial" w:cs="Arial"/>
          <w:b/>
          <w:sz w:val="20"/>
        </w:rPr>
        <w:t xml:space="preserve">aripiprazole </w:t>
      </w:r>
      <w:r w:rsidR="00FA03F3">
        <w:rPr>
          <w:rFonts w:ascii="Arial" w:hAnsi="Arial" w:cs="Arial"/>
          <w:b/>
          <w:sz w:val="20"/>
        </w:rPr>
        <w:t xml:space="preserve">long-acting injection </w:t>
      </w:r>
      <w:r w:rsidRPr="005F3662">
        <w:rPr>
          <w:rFonts w:ascii="Arial" w:hAnsi="Arial" w:cs="Arial"/>
          <w:b/>
          <w:sz w:val="20"/>
        </w:rPr>
        <w:t>for the treatment of schizophrenia in adults</w:t>
      </w:r>
      <w:r w:rsidRPr="005F3662">
        <w:rPr>
          <w:rFonts w:ascii="Arial" w:hAnsi="Arial" w:cs="Arial"/>
          <w:sz w:val="20"/>
        </w:rPr>
        <w:t xml:space="preserve"> can be shared between the specialist and general practitioner (GP).  GPs are invited to participate. 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533EAE65" w14:textId="77777777" w:rsidR="001A08BF" w:rsidRPr="002E5FF1" w:rsidRDefault="001A08BF" w:rsidP="001A08BF">
      <w:pPr>
        <w:rPr>
          <w:rFonts w:ascii="Arial" w:hAnsi="Arial" w:cs="Arial"/>
          <w:b/>
          <w:sz w:val="10"/>
          <w:szCs w:val="20"/>
        </w:rPr>
      </w:pPr>
    </w:p>
    <w:p w14:paraId="26B53288" w14:textId="77777777" w:rsidR="001A08BF" w:rsidRPr="00D05BD0" w:rsidRDefault="001A08BF" w:rsidP="001A08BF">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5011"/>
      </w:tblGrid>
      <w:tr w:rsidR="001A08BF" w:rsidRPr="00586016" w14:paraId="2D497842" w14:textId="77777777" w:rsidTr="002132CF">
        <w:trPr>
          <w:cantSplit/>
          <w:jc w:val="center"/>
        </w:trPr>
        <w:tc>
          <w:tcPr>
            <w:tcW w:w="10509" w:type="dxa"/>
            <w:gridSpan w:val="2"/>
            <w:tcBorders>
              <w:top w:val="single" w:sz="24" w:space="0" w:color="0000FF"/>
              <w:left w:val="single" w:sz="24" w:space="0" w:color="0000FF"/>
              <w:bottom w:val="single" w:sz="24" w:space="0" w:color="0000FF"/>
              <w:right w:val="single" w:sz="24" w:space="0" w:color="0000FF"/>
            </w:tcBorders>
            <w:shd w:val="clear" w:color="auto" w:fill="FFFFCC"/>
          </w:tcPr>
          <w:p w14:paraId="10605D15" w14:textId="77777777" w:rsidR="001A08BF" w:rsidRPr="00753646" w:rsidRDefault="001A08BF" w:rsidP="00176769">
            <w:pPr>
              <w:pStyle w:val="Subtitle"/>
              <w:rPr>
                <w:rFonts w:ascii="Arial" w:hAnsi="Arial" w:cs="Arial"/>
                <w:b/>
                <w:bCs/>
                <w:color w:val="595959"/>
                <w:sz w:val="28"/>
                <w:szCs w:val="28"/>
                <w:lang w:val="en-GB"/>
              </w:rPr>
            </w:pPr>
            <w:r w:rsidRPr="00753646">
              <w:rPr>
                <w:rFonts w:ascii="Arial" w:hAnsi="Arial" w:cs="Arial"/>
                <w:b/>
                <w:bCs/>
                <w:color w:val="595959"/>
                <w:sz w:val="28"/>
                <w:szCs w:val="28"/>
                <w:lang w:val="en-GB"/>
              </w:rPr>
              <w:t>AGREEMENT TO PARTICIPATE IN SHARED CARE</w:t>
            </w:r>
          </w:p>
          <w:p w14:paraId="5BDFA1A7" w14:textId="30B27923" w:rsidR="001A08BF" w:rsidRPr="005C3B54" w:rsidRDefault="001A08BF" w:rsidP="00F95BA2">
            <w:pPr>
              <w:pStyle w:val="Subtitle"/>
              <w:rPr>
                <w:rFonts w:ascii="Arial" w:hAnsi="Arial" w:cs="Arial"/>
                <w:b/>
                <w:bCs/>
                <w:sz w:val="20"/>
                <w:szCs w:val="20"/>
                <w:lang w:val="en-GB"/>
              </w:rPr>
            </w:pPr>
            <w:r w:rsidRPr="005F3662">
              <w:rPr>
                <w:rFonts w:ascii="Arial" w:hAnsi="Arial" w:cs="Arial"/>
                <w:b/>
                <w:bCs/>
                <w:color w:val="595959"/>
                <w:sz w:val="28"/>
                <w:szCs w:val="36"/>
                <w:lang w:val="en-GB"/>
              </w:rPr>
              <w:t>Aripiprazole</w:t>
            </w:r>
            <w:r w:rsidR="00F95BA2">
              <w:rPr>
                <w:rFonts w:ascii="Arial" w:hAnsi="Arial" w:cs="Arial"/>
                <w:b/>
                <w:bCs/>
                <w:color w:val="595959"/>
                <w:sz w:val="28"/>
                <w:szCs w:val="36"/>
                <w:lang w:val="en-GB"/>
              </w:rPr>
              <w:t xml:space="preserve"> long-acting injection </w:t>
            </w:r>
            <w:r w:rsidRPr="005F3662">
              <w:rPr>
                <w:rFonts w:ascii="Arial" w:hAnsi="Arial" w:cs="Arial"/>
                <w:b/>
                <w:bCs/>
                <w:color w:val="595959"/>
                <w:sz w:val="28"/>
                <w:szCs w:val="36"/>
                <w:lang w:val="en-GB"/>
              </w:rPr>
              <w:t>for the treatment of schizophrenia in adults</w:t>
            </w:r>
          </w:p>
        </w:tc>
      </w:tr>
      <w:tr w:rsidR="001A08BF" w14:paraId="7D6B0A4D" w14:textId="77777777" w:rsidTr="005F3662">
        <w:trPr>
          <w:trHeight w:val="570"/>
          <w:jc w:val="center"/>
        </w:trPr>
        <w:tc>
          <w:tcPr>
            <w:tcW w:w="5455" w:type="dxa"/>
            <w:tcBorders>
              <w:top w:val="single" w:sz="24" w:space="0" w:color="0000FF"/>
              <w:left w:val="single" w:sz="24" w:space="0" w:color="0000FF"/>
            </w:tcBorders>
          </w:tcPr>
          <w:p w14:paraId="769747BA" w14:textId="77777777" w:rsidR="001A08BF" w:rsidRPr="0022439A" w:rsidRDefault="001A08BF" w:rsidP="00176769">
            <w:pPr>
              <w:pStyle w:val="Subtitle"/>
              <w:jc w:val="left"/>
              <w:rPr>
                <w:rFonts w:ascii="Arial" w:hAnsi="Arial" w:cs="Arial"/>
                <w:b/>
                <w:bCs/>
                <w:color w:val="000000"/>
                <w:sz w:val="20"/>
                <w:szCs w:val="20"/>
                <w:lang w:val="en-GB"/>
              </w:rPr>
            </w:pPr>
            <w:r w:rsidRPr="006D7BA1">
              <w:rPr>
                <w:rFonts w:ascii="Arial" w:hAnsi="Arial" w:cs="Arial"/>
                <w:b/>
                <w:bCs/>
                <w:color w:val="000000"/>
                <w:sz w:val="20"/>
                <w:szCs w:val="20"/>
                <w:lang w:val="en-GB"/>
              </w:rPr>
              <w:t>Consultant</w:t>
            </w:r>
            <w:r>
              <w:rPr>
                <w:rFonts w:ascii="Arial" w:hAnsi="Arial" w:cs="Arial"/>
                <w:b/>
                <w:bCs/>
                <w:color w:val="000000"/>
                <w:sz w:val="20"/>
                <w:szCs w:val="20"/>
                <w:lang w:val="en-GB"/>
              </w:rPr>
              <w:t>/Specialist</w:t>
            </w:r>
            <w:r w:rsidRPr="006D7BA1">
              <w:rPr>
                <w:rFonts w:ascii="Arial" w:hAnsi="Arial" w:cs="Arial"/>
                <w:b/>
                <w:bCs/>
                <w:color w:val="000000"/>
                <w:sz w:val="20"/>
                <w:szCs w:val="20"/>
                <w:lang w:val="en-GB"/>
              </w:rPr>
              <w:t xml:space="preserve"> Name:</w:t>
            </w:r>
          </w:p>
        </w:tc>
        <w:tc>
          <w:tcPr>
            <w:tcW w:w="5054" w:type="dxa"/>
            <w:tcBorders>
              <w:top w:val="single" w:sz="24" w:space="0" w:color="0000FF"/>
              <w:right w:val="single" w:sz="24" w:space="0" w:color="0000FF"/>
            </w:tcBorders>
          </w:tcPr>
          <w:p w14:paraId="24A79CEA" w14:textId="77777777" w:rsidR="001A08BF" w:rsidRPr="0022439A" w:rsidRDefault="001A08BF" w:rsidP="00176769">
            <w:pPr>
              <w:pStyle w:val="Subtitle"/>
              <w:jc w:val="left"/>
              <w:rPr>
                <w:rFonts w:ascii="Arial" w:hAnsi="Arial" w:cs="Arial"/>
                <w:b/>
                <w:bCs/>
                <w:sz w:val="20"/>
                <w:szCs w:val="20"/>
                <w:lang w:val="en-GB"/>
              </w:rPr>
            </w:pPr>
            <w:r w:rsidRPr="006D7BA1">
              <w:rPr>
                <w:rFonts w:ascii="Arial" w:hAnsi="Arial" w:cs="Arial"/>
                <w:b/>
                <w:bCs/>
                <w:sz w:val="20"/>
                <w:szCs w:val="20"/>
                <w:lang w:val="en-GB"/>
              </w:rPr>
              <w:t>Patient name:</w:t>
            </w:r>
          </w:p>
          <w:p w14:paraId="4D3B77AD" w14:textId="77777777" w:rsidR="001A08BF" w:rsidRPr="006D7BA1" w:rsidRDefault="001A08BF" w:rsidP="00176769">
            <w:pPr>
              <w:pStyle w:val="Subtitle"/>
              <w:jc w:val="left"/>
              <w:rPr>
                <w:rFonts w:ascii="Arial" w:hAnsi="Arial" w:cs="Arial"/>
                <w:color w:val="000000"/>
                <w:sz w:val="20"/>
                <w:szCs w:val="20"/>
                <w:lang w:val="en-GB"/>
              </w:rPr>
            </w:pPr>
          </w:p>
        </w:tc>
      </w:tr>
      <w:tr w:rsidR="001A08BF" w14:paraId="4E08728F" w14:textId="77777777" w:rsidTr="005F3662">
        <w:trPr>
          <w:trHeight w:val="984"/>
          <w:jc w:val="center"/>
        </w:trPr>
        <w:tc>
          <w:tcPr>
            <w:tcW w:w="5455" w:type="dxa"/>
            <w:tcBorders>
              <w:left w:val="single" w:sz="24" w:space="0" w:color="0000FF"/>
            </w:tcBorders>
          </w:tcPr>
          <w:p w14:paraId="0E771FBD" w14:textId="77777777" w:rsidR="001A08BF" w:rsidRPr="006D7BA1" w:rsidRDefault="001A08BF" w:rsidP="00176769">
            <w:pPr>
              <w:pStyle w:val="Subtitle"/>
              <w:jc w:val="left"/>
              <w:rPr>
                <w:rFonts w:ascii="Arial" w:hAnsi="Arial" w:cs="Arial"/>
                <w:b/>
                <w:bCs/>
                <w:color w:val="000000"/>
                <w:sz w:val="20"/>
                <w:szCs w:val="20"/>
                <w:lang w:val="en-GB"/>
              </w:rPr>
            </w:pPr>
            <w:r w:rsidRPr="006D7BA1">
              <w:rPr>
                <w:rFonts w:ascii="Arial" w:hAnsi="Arial" w:cs="Arial"/>
                <w:b/>
                <w:bCs/>
                <w:sz w:val="20"/>
                <w:szCs w:val="20"/>
                <w:lang w:val="en-GB"/>
              </w:rPr>
              <w:t>Consultant</w:t>
            </w:r>
            <w:r>
              <w:rPr>
                <w:rFonts w:ascii="Arial" w:hAnsi="Arial" w:cs="Arial"/>
                <w:b/>
                <w:bCs/>
                <w:sz w:val="20"/>
                <w:szCs w:val="20"/>
                <w:lang w:val="en-GB"/>
              </w:rPr>
              <w:t>/Specialist</w:t>
            </w:r>
            <w:r w:rsidRPr="006D7BA1">
              <w:rPr>
                <w:rFonts w:ascii="Arial" w:hAnsi="Arial" w:cs="Arial"/>
                <w:b/>
                <w:bCs/>
                <w:sz w:val="20"/>
                <w:szCs w:val="20"/>
                <w:lang w:val="en-GB"/>
              </w:rPr>
              <w:t xml:space="preserve"> signature</w:t>
            </w:r>
            <w:r w:rsidRPr="006D7BA1">
              <w:rPr>
                <w:rFonts w:ascii="Arial" w:hAnsi="Arial" w:cs="Arial"/>
                <w:b/>
                <w:bCs/>
                <w:color w:val="000000"/>
                <w:sz w:val="20"/>
                <w:szCs w:val="20"/>
                <w:lang w:val="en-GB"/>
              </w:rPr>
              <w:t>:</w:t>
            </w:r>
          </w:p>
          <w:p w14:paraId="0B096191" w14:textId="77777777" w:rsidR="001A08BF" w:rsidRPr="006D7BA1" w:rsidRDefault="001A08BF" w:rsidP="00176769">
            <w:pPr>
              <w:pStyle w:val="Subtitle"/>
              <w:jc w:val="left"/>
              <w:rPr>
                <w:rFonts w:ascii="Arial" w:hAnsi="Arial" w:cs="Arial"/>
                <w:b/>
                <w:bCs/>
                <w:color w:val="000000"/>
                <w:sz w:val="20"/>
                <w:szCs w:val="20"/>
                <w:lang w:val="en-GB"/>
              </w:rPr>
            </w:pPr>
          </w:p>
        </w:tc>
        <w:tc>
          <w:tcPr>
            <w:tcW w:w="5054" w:type="dxa"/>
            <w:tcBorders>
              <w:right w:val="single" w:sz="24" w:space="0" w:color="0000FF"/>
            </w:tcBorders>
          </w:tcPr>
          <w:p w14:paraId="01F0AB3B" w14:textId="77777777" w:rsidR="001A08BF" w:rsidRPr="006D7BA1" w:rsidRDefault="001A08BF" w:rsidP="00176769">
            <w:pPr>
              <w:pStyle w:val="Subtitle"/>
              <w:jc w:val="left"/>
              <w:rPr>
                <w:rFonts w:ascii="Arial" w:hAnsi="Arial" w:cs="Arial"/>
                <w:b/>
                <w:bCs/>
                <w:sz w:val="20"/>
                <w:szCs w:val="20"/>
                <w:lang w:val="en-GB"/>
              </w:rPr>
            </w:pPr>
            <w:r w:rsidRPr="006D7BA1">
              <w:rPr>
                <w:rFonts w:ascii="Arial" w:hAnsi="Arial" w:cs="Arial"/>
                <w:b/>
                <w:bCs/>
                <w:sz w:val="20"/>
                <w:szCs w:val="20"/>
                <w:lang w:val="en-GB"/>
              </w:rPr>
              <w:t>Patient Hospital Number:</w:t>
            </w:r>
          </w:p>
          <w:p w14:paraId="08E5A8B7" w14:textId="77777777" w:rsidR="001A08BF" w:rsidRPr="006D7BA1" w:rsidRDefault="001A08BF" w:rsidP="00176769">
            <w:pPr>
              <w:pStyle w:val="Subtitle"/>
              <w:jc w:val="left"/>
              <w:rPr>
                <w:rFonts w:ascii="Arial" w:hAnsi="Arial" w:cs="Arial"/>
                <w:b/>
                <w:bCs/>
                <w:sz w:val="20"/>
                <w:szCs w:val="20"/>
                <w:lang w:val="en-GB"/>
              </w:rPr>
            </w:pPr>
          </w:p>
          <w:p w14:paraId="6D862363" w14:textId="77777777" w:rsidR="001A08BF" w:rsidRPr="0022439A" w:rsidRDefault="001A08BF" w:rsidP="00176769">
            <w:pPr>
              <w:pStyle w:val="Subtitle"/>
              <w:jc w:val="left"/>
              <w:rPr>
                <w:rFonts w:ascii="Arial" w:hAnsi="Arial" w:cs="Arial"/>
                <w:b/>
                <w:bCs/>
                <w:sz w:val="20"/>
                <w:szCs w:val="20"/>
                <w:lang w:val="en-GB"/>
              </w:rPr>
            </w:pPr>
            <w:r w:rsidRPr="006D7BA1">
              <w:rPr>
                <w:rFonts w:ascii="Arial" w:hAnsi="Arial" w:cs="Arial"/>
                <w:b/>
                <w:bCs/>
                <w:sz w:val="20"/>
                <w:szCs w:val="20"/>
                <w:lang w:val="en-GB"/>
              </w:rPr>
              <w:t xml:space="preserve">Patient NHS Number: </w:t>
            </w:r>
          </w:p>
        </w:tc>
      </w:tr>
      <w:tr w:rsidR="001A08BF" w14:paraId="3F960697" w14:textId="77777777" w:rsidTr="005F3662">
        <w:trPr>
          <w:trHeight w:val="64"/>
          <w:jc w:val="center"/>
        </w:trPr>
        <w:tc>
          <w:tcPr>
            <w:tcW w:w="5455" w:type="dxa"/>
            <w:tcBorders>
              <w:left w:val="single" w:sz="24" w:space="0" w:color="0000FF"/>
            </w:tcBorders>
          </w:tcPr>
          <w:p w14:paraId="351FAE58" w14:textId="77777777" w:rsidR="001A08BF" w:rsidRPr="006D7BA1" w:rsidRDefault="001A08BF" w:rsidP="00176769">
            <w:pPr>
              <w:pStyle w:val="Subtitle"/>
              <w:jc w:val="left"/>
              <w:rPr>
                <w:rFonts w:ascii="Arial" w:hAnsi="Arial" w:cs="Arial"/>
                <w:b/>
                <w:bCs/>
                <w:sz w:val="20"/>
                <w:szCs w:val="20"/>
                <w:lang w:val="en-GB"/>
              </w:rPr>
            </w:pPr>
            <w:r w:rsidRPr="006D7BA1">
              <w:rPr>
                <w:rFonts w:ascii="Arial" w:hAnsi="Arial" w:cs="Arial"/>
                <w:b/>
                <w:bCs/>
                <w:sz w:val="20"/>
                <w:szCs w:val="20"/>
                <w:lang w:val="en-GB"/>
              </w:rPr>
              <w:t>Date completed:</w:t>
            </w:r>
          </w:p>
          <w:p w14:paraId="1B702A02" w14:textId="77777777" w:rsidR="001A08BF" w:rsidRPr="006D7BA1" w:rsidRDefault="001A08BF" w:rsidP="00176769">
            <w:pPr>
              <w:pStyle w:val="Subtitle"/>
              <w:jc w:val="left"/>
              <w:rPr>
                <w:rFonts w:ascii="Arial" w:hAnsi="Arial" w:cs="Arial"/>
                <w:b/>
                <w:bCs/>
                <w:sz w:val="20"/>
                <w:szCs w:val="20"/>
                <w:lang w:val="en-GB"/>
              </w:rPr>
            </w:pPr>
          </w:p>
        </w:tc>
        <w:tc>
          <w:tcPr>
            <w:tcW w:w="5054" w:type="dxa"/>
            <w:vMerge w:val="restart"/>
            <w:tcBorders>
              <w:right w:val="single" w:sz="24" w:space="0" w:color="0000FF"/>
            </w:tcBorders>
          </w:tcPr>
          <w:p w14:paraId="39083F81" w14:textId="77777777" w:rsidR="001A08BF" w:rsidRPr="006D7BA1" w:rsidRDefault="001A08BF" w:rsidP="00176769">
            <w:pPr>
              <w:pStyle w:val="Subtitle"/>
              <w:jc w:val="left"/>
              <w:rPr>
                <w:rFonts w:ascii="Arial" w:hAnsi="Arial" w:cs="Arial"/>
                <w:b/>
                <w:bCs/>
                <w:sz w:val="20"/>
                <w:szCs w:val="20"/>
                <w:lang w:val="en-GB"/>
              </w:rPr>
            </w:pPr>
            <w:r w:rsidRPr="006D7BA1">
              <w:rPr>
                <w:rFonts w:ascii="Arial" w:hAnsi="Arial" w:cs="Arial"/>
                <w:b/>
                <w:bCs/>
                <w:sz w:val="20"/>
                <w:szCs w:val="20"/>
                <w:lang w:val="en-GB"/>
              </w:rPr>
              <w:t>Patient</w:t>
            </w:r>
            <w:r>
              <w:rPr>
                <w:rFonts w:ascii="Arial" w:hAnsi="Arial" w:cs="Arial"/>
                <w:b/>
                <w:bCs/>
                <w:sz w:val="20"/>
                <w:szCs w:val="20"/>
                <w:lang w:val="en-GB"/>
              </w:rPr>
              <w:t>/carer</w:t>
            </w:r>
            <w:r w:rsidRPr="006D7BA1">
              <w:rPr>
                <w:rFonts w:ascii="Arial" w:hAnsi="Arial" w:cs="Arial"/>
                <w:b/>
                <w:bCs/>
                <w:sz w:val="20"/>
                <w:szCs w:val="20"/>
                <w:lang w:val="en-GB"/>
              </w:rPr>
              <w:t xml:space="preserve"> Agreement:</w:t>
            </w:r>
          </w:p>
          <w:p w14:paraId="0C791B39" w14:textId="77777777" w:rsidR="001A08BF" w:rsidRPr="006D7BA1" w:rsidRDefault="001A08BF" w:rsidP="00176769">
            <w:pPr>
              <w:pStyle w:val="Subtitle"/>
              <w:jc w:val="left"/>
              <w:rPr>
                <w:rFonts w:ascii="Arial" w:hAnsi="Arial" w:cs="Arial"/>
                <w:b/>
                <w:bCs/>
                <w:sz w:val="20"/>
                <w:szCs w:val="20"/>
                <w:lang w:val="en-GB"/>
              </w:rPr>
            </w:pPr>
          </w:p>
          <w:p w14:paraId="1D1607A4" w14:textId="77777777" w:rsidR="001A08BF" w:rsidRPr="006D7BA1" w:rsidRDefault="001A08BF" w:rsidP="00176769">
            <w:pPr>
              <w:pStyle w:val="Subtitle"/>
              <w:jc w:val="left"/>
              <w:rPr>
                <w:rFonts w:ascii="Arial" w:hAnsi="Arial" w:cs="Arial"/>
                <w:sz w:val="20"/>
                <w:szCs w:val="20"/>
                <w:lang w:val="en-GB"/>
              </w:rPr>
            </w:pPr>
            <w:r w:rsidRPr="006D7BA1">
              <w:rPr>
                <w:rFonts w:ascii="Arial" w:hAnsi="Arial" w:cs="Arial"/>
                <w:sz w:val="20"/>
                <w:szCs w:val="20"/>
                <w:lang w:val="en-GB"/>
              </w:rPr>
              <w:t xml:space="preserve">Patient </w:t>
            </w:r>
            <w:r>
              <w:rPr>
                <w:rFonts w:ascii="Arial" w:hAnsi="Arial" w:cs="Arial"/>
                <w:sz w:val="20"/>
                <w:szCs w:val="20"/>
                <w:lang w:val="en-GB"/>
              </w:rPr>
              <w:t xml:space="preserve">/ carer </w:t>
            </w:r>
            <w:r w:rsidRPr="006D7BA1">
              <w:rPr>
                <w:rFonts w:ascii="Arial" w:hAnsi="Arial" w:cs="Arial"/>
                <w:sz w:val="20"/>
                <w:szCs w:val="20"/>
                <w:lang w:val="en-GB"/>
              </w:rPr>
              <w:t xml:space="preserve">agrees to shared care </w:t>
            </w:r>
            <w:r w:rsidRPr="006D7BA1">
              <w:rPr>
                <w:rFonts w:ascii="Arial" w:hAnsi="Arial" w:cs="Arial"/>
                <w:lang w:val="en-GB"/>
              </w:rPr>
              <w:sym w:font="Wingdings 2" w:char="F0A3"/>
            </w:r>
          </w:p>
          <w:p w14:paraId="712FDF50" w14:textId="77777777" w:rsidR="001A08BF" w:rsidRPr="006D7BA1" w:rsidRDefault="001A08BF" w:rsidP="00176769">
            <w:pPr>
              <w:pStyle w:val="Subtitle"/>
              <w:jc w:val="left"/>
              <w:rPr>
                <w:rFonts w:ascii="Arial" w:hAnsi="Arial" w:cs="Arial"/>
                <w:sz w:val="20"/>
                <w:szCs w:val="20"/>
                <w:lang w:val="en-GB"/>
              </w:rPr>
            </w:pPr>
          </w:p>
          <w:p w14:paraId="5496FDDE" w14:textId="77777777" w:rsidR="001A08BF" w:rsidRPr="006D7BA1" w:rsidRDefault="001A08BF" w:rsidP="00176769">
            <w:pPr>
              <w:pStyle w:val="Subtitle"/>
              <w:jc w:val="left"/>
              <w:rPr>
                <w:rFonts w:ascii="Arial" w:hAnsi="Arial" w:cs="Arial"/>
                <w:sz w:val="20"/>
                <w:szCs w:val="20"/>
                <w:lang w:val="en-GB"/>
              </w:rPr>
            </w:pPr>
            <w:r w:rsidRPr="006D7BA1">
              <w:rPr>
                <w:rFonts w:ascii="Arial" w:hAnsi="Arial" w:cs="Arial"/>
                <w:sz w:val="20"/>
                <w:szCs w:val="20"/>
                <w:lang w:val="en-GB"/>
              </w:rPr>
              <w:t>Patient</w:t>
            </w:r>
            <w:r>
              <w:rPr>
                <w:rFonts w:ascii="Arial" w:hAnsi="Arial" w:cs="Arial"/>
                <w:sz w:val="20"/>
                <w:szCs w:val="20"/>
                <w:lang w:val="en-GB"/>
              </w:rPr>
              <w:t xml:space="preserve"> /carer</w:t>
            </w:r>
            <w:r w:rsidRPr="006D7BA1">
              <w:rPr>
                <w:rFonts w:ascii="Arial" w:hAnsi="Arial" w:cs="Arial"/>
                <w:sz w:val="20"/>
                <w:szCs w:val="20"/>
                <w:lang w:val="en-GB"/>
              </w:rPr>
              <w:t xml:space="preserve"> does not agree to shared care </w:t>
            </w:r>
            <w:r w:rsidRPr="006D7BA1">
              <w:rPr>
                <w:rFonts w:ascii="Arial" w:hAnsi="Arial" w:cs="Arial"/>
                <w:lang w:val="en-GB"/>
              </w:rPr>
              <w:sym w:font="Wingdings 2" w:char="F0A3"/>
            </w:r>
          </w:p>
        </w:tc>
      </w:tr>
      <w:tr w:rsidR="001A08BF" w:rsidRPr="00063C40" w14:paraId="7D6C7E30" w14:textId="77777777" w:rsidTr="005F3662">
        <w:trPr>
          <w:trHeight w:val="83"/>
          <w:jc w:val="center"/>
        </w:trPr>
        <w:tc>
          <w:tcPr>
            <w:tcW w:w="5455" w:type="dxa"/>
            <w:tcBorders>
              <w:left w:val="single" w:sz="24" w:space="0" w:color="0000FF"/>
            </w:tcBorders>
          </w:tcPr>
          <w:p w14:paraId="798799A1" w14:textId="77777777" w:rsidR="001A08BF" w:rsidRPr="006D7BA1" w:rsidRDefault="001A08BF" w:rsidP="00176769">
            <w:pPr>
              <w:pStyle w:val="Subtitle"/>
              <w:jc w:val="left"/>
              <w:rPr>
                <w:rFonts w:ascii="Arial" w:hAnsi="Arial" w:cs="Arial"/>
                <w:b/>
                <w:bCs/>
                <w:sz w:val="20"/>
                <w:szCs w:val="20"/>
                <w:lang w:val="en-GB"/>
              </w:rPr>
            </w:pPr>
            <w:r>
              <w:rPr>
                <w:rFonts w:ascii="Arial" w:hAnsi="Arial" w:cs="Arial"/>
                <w:b/>
                <w:bCs/>
                <w:sz w:val="20"/>
                <w:szCs w:val="20"/>
                <w:lang w:val="en-GB"/>
              </w:rPr>
              <w:t>Hospital</w:t>
            </w:r>
            <w:r w:rsidR="0022439A">
              <w:rPr>
                <w:rFonts w:ascii="Arial" w:hAnsi="Arial" w:cs="Arial"/>
                <w:b/>
                <w:bCs/>
                <w:sz w:val="20"/>
                <w:szCs w:val="20"/>
                <w:lang w:val="en-GB"/>
              </w:rPr>
              <w:t>/specialist</w:t>
            </w:r>
            <w:r>
              <w:rPr>
                <w:rFonts w:ascii="Arial" w:hAnsi="Arial" w:cs="Arial"/>
                <w:b/>
                <w:bCs/>
                <w:sz w:val="20"/>
                <w:szCs w:val="20"/>
                <w:lang w:val="en-GB"/>
              </w:rPr>
              <w:t xml:space="preserve"> requesting shared care:</w:t>
            </w:r>
          </w:p>
          <w:p w14:paraId="621DC054" w14:textId="77777777" w:rsidR="001A08BF" w:rsidRPr="00D05BD0" w:rsidRDefault="001A08BF" w:rsidP="00176769">
            <w:pPr>
              <w:pStyle w:val="Subtitle"/>
              <w:jc w:val="left"/>
              <w:rPr>
                <w:rFonts w:ascii="Arial" w:hAnsi="Arial" w:cs="Arial"/>
                <w:b/>
                <w:bCs/>
                <w:sz w:val="16"/>
                <w:szCs w:val="16"/>
                <w:lang w:val="en-GB"/>
              </w:rPr>
            </w:pPr>
          </w:p>
        </w:tc>
        <w:tc>
          <w:tcPr>
            <w:tcW w:w="5054" w:type="dxa"/>
            <w:vMerge/>
            <w:tcBorders>
              <w:right w:val="single" w:sz="24" w:space="0" w:color="0000FF"/>
            </w:tcBorders>
          </w:tcPr>
          <w:p w14:paraId="2A6846AF" w14:textId="77777777" w:rsidR="001A08BF" w:rsidRPr="006D7BA1" w:rsidRDefault="001A08BF" w:rsidP="00176769">
            <w:pPr>
              <w:pStyle w:val="Subtitle"/>
              <w:jc w:val="left"/>
              <w:rPr>
                <w:rFonts w:ascii="Arial" w:hAnsi="Arial" w:cs="Arial"/>
                <w:b/>
                <w:bCs/>
                <w:sz w:val="20"/>
                <w:szCs w:val="20"/>
                <w:lang w:val="en-GB"/>
              </w:rPr>
            </w:pPr>
          </w:p>
        </w:tc>
      </w:tr>
      <w:tr w:rsidR="001A08BF" w:rsidRPr="00063C40" w14:paraId="22F5F9D3" w14:textId="77777777" w:rsidTr="005F3662">
        <w:trPr>
          <w:trHeight w:val="83"/>
          <w:jc w:val="center"/>
        </w:trPr>
        <w:tc>
          <w:tcPr>
            <w:tcW w:w="10509" w:type="dxa"/>
            <w:gridSpan w:val="2"/>
            <w:tcBorders>
              <w:left w:val="single" w:sz="24" w:space="0" w:color="0000FF"/>
              <w:right w:val="single" w:sz="24" w:space="0" w:color="0000FF"/>
            </w:tcBorders>
          </w:tcPr>
          <w:p w14:paraId="4631F6BE" w14:textId="77777777" w:rsidR="001A08BF" w:rsidRPr="006D7BA1" w:rsidRDefault="001A08BF" w:rsidP="00176769">
            <w:pPr>
              <w:pStyle w:val="Subtitle"/>
              <w:jc w:val="left"/>
              <w:rPr>
                <w:rFonts w:ascii="Arial" w:hAnsi="Arial" w:cs="Arial"/>
                <w:b/>
                <w:bCs/>
                <w:sz w:val="20"/>
                <w:szCs w:val="20"/>
                <w:lang w:val="en-GB"/>
              </w:rPr>
            </w:pPr>
            <w:r w:rsidRPr="006D7BA1">
              <w:rPr>
                <w:rFonts w:ascii="Arial" w:hAnsi="Arial" w:cs="Arial"/>
                <w:b/>
                <w:bCs/>
                <w:sz w:val="20"/>
                <w:szCs w:val="20"/>
                <w:lang w:val="en-GB"/>
              </w:rPr>
              <w:t>GP Name:</w:t>
            </w:r>
          </w:p>
          <w:p w14:paraId="05D3A1E1" w14:textId="77777777" w:rsidR="001A08BF" w:rsidRPr="006D7BA1" w:rsidRDefault="001A08BF" w:rsidP="00176769">
            <w:pPr>
              <w:pStyle w:val="Subtitle"/>
              <w:jc w:val="left"/>
              <w:rPr>
                <w:rFonts w:ascii="Arial" w:hAnsi="Arial" w:cs="Arial"/>
                <w:b/>
                <w:bCs/>
                <w:sz w:val="20"/>
                <w:szCs w:val="20"/>
                <w:lang w:val="en-GB"/>
              </w:rPr>
            </w:pPr>
          </w:p>
        </w:tc>
      </w:tr>
      <w:tr w:rsidR="001A08BF" w:rsidRPr="00063C40" w14:paraId="6404AF5D" w14:textId="77777777" w:rsidTr="005F3662">
        <w:trPr>
          <w:trHeight w:val="83"/>
          <w:jc w:val="center"/>
        </w:trPr>
        <w:tc>
          <w:tcPr>
            <w:tcW w:w="10509" w:type="dxa"/>
            <w:gridSpan w:val="2"/>
            <w:tcBorders>
              <w:left w:val="single" w:sz="24" w:space="0" w:color="0000FF"/>
              <w:right w:val="single" w:sz="24" w:space="0" w:color="0000FF"/>
            </w:tcBorders>
          </w:tcPr>
          <w:p w14:paraId="517DD943" w14:textId="3AC61BEC" w:rsidR="001A08BF" w:rsidRPr="006D7BA1" w:rsidRDefault="001A08BF" w:rsidP="00FA03F3">
            <w:pPr>
              <w:pStyle w:val="Subtitle"/>
              <w:jc w:val="left"/>
              <w:rPr>
                <w:rFonts w:ascii="Arial" w:hAnsi="Arial" w:cs="Arial"/>
                <w:b/>
                <w:bCs/>
                <w:sz w:val="20"/>
                <w:szCs w:val="20"/>
                <w:lang w:val="en-GB"/>
              </w:rPr>
            </w:pPr>
            <w:r w:rsidRPr="00280958">
              <w:rPr>
                <w:rFonts w:ascii="Arial" w:hAnsi="Arial" w:cs="Arial"/>
                <w:b/>
                <w:bCs/>
                <w:sz w:val="20"/>
                <w:szCs w:val="20"/>
                <w:lang w:val="en-GB"/>
              </w:rPr>
              <w:t xml:space="preserve">This is to confirm that I agree to participate in shared care for </w:t>
            </w:r>
            <w:r w:rsidR="002E5FF1" w:rsidRPr="002E5FF1">
              <w:rPr>
                <w:rFonts w:ascii="Arial" w:hAnsi="Arial" w:cs="Arial"/>
                <w:b/>
                <w:bCs/>
                <w:sz w:val="20"/>
                <w:szCs w:val="20"/>
                <w:lang w:val="en-GB"/>
              </w:rPr>
              <w:t xml:space="preserve">Aripiprazole </w:t>
            </w:r>
            <w:r w:rsidR="00FA03F3">
              <w:rPr>
                <w:rFonts w:ascii="Arial" w:hAnsi="Arial" w:cs="Arial"/>
                <w:b/>
                <w:bCs/>
                <w:sz w:val="20"/>
                <w:szCs w:val="20"/>
                <w:lang w:val="en-GB"/>
              </w:rPr>
              <w:t>long-acting</w:t>
            </w:r>
            <w:r w:rsidR="002E5FF1">
              <w:rPr>
                <w:rFonts w:ascii="Arial" w:hAnsi="Arial" w:cs="Arial"/>
                <w:b/>
                <w:bCs/>
                <w:sz w:val="20"/>
                <w:szCs w:val="20"/>
                <w:lang w:val="en-GB"/>
              </w:rPr>
              <w:t xml:space="preserve"> injection </w:t>
            </w:r>
            <w:r w:rsidR="002E5FF1" w:rsidRPr="002E5FF1">
              <w:rPr>
                <w:rFonts w:ascii="Arial" w:hAnsi="Arial" w:cs="Arial"/>
                <w:b/>
                <w:bCs/>
                <w:sz w:val="20"/>
                <w:szCs w:val="20"/>
                <w:lang w:val="en-GB"/>
              </w:rPr>
              <w:t xml:space="preserve">for the treatment of schizophrenia </w:t>
            </w:r>
            <w:r w:rsidRPr="00280958">
              <w:rPr>
                <w:rFonts w:ascii="Arial" w:hAnsi="Arial" w:cs="Arial"/>
                <w:b/>
                <w:bCs/>
                <w:sz w:val="20"/>
                <w:szCs w:val="20"/>
                <w:lang w:val="en-GB"/>
              </w:rPr>
              <w:t>for this patient as outlined in this shared care document</w:t>
            </w:r>
          </w:p>
        </w:tc>
      </w:tr>
      <w:tr w:rsidR="001A08BF" w:rsidRPr="00063C40" w14:paraId="13CDBEF0" w14:textId="77777777" w:rsidTr="005F3662">
        <w:trPr>
          <w:trHeight w:val="83"/>
          <w:jc w:val="center"/>
        </w:trPr>
        <w:tc>
          <w:tcPr>
            <w:tcW w:w="10509" w:type="dxa"/>
            <w:gridSpan w:val="2"/>
            <w:tcBorders>
              <w:left w:val="single" w:sz="24" w:space="0" w:color="0000FF"/>
              <w:right w:val="single" w:sz="24" w:space="0" w:color="0000FF"/>
            </w:tcBorders>
          </w:tcPr>
          <w:p w14:paraId="22C85C54" w14:textId="77777777" w:rsidR="001A08BF" w:rsidRPr="006D7BA1" w:rsidRDefault="001A08BF" w:rsidP="00176769">
            <w:pPr>
              <w:pStyle w:val="Subtitle"/>
              <w:jc w:val="left"/>
              <w:rPr>
                <w:rFonts w:ascii="Arial" w:hAnsi="Arial" w:cs="Arial"/>
                <w:b/>
                <w:bCs/>
                <w:sz w:val="20"/>
                <w:szCs w:val="20"/>
                <w:lang w:val="en-GB"/>
              </w:rPr>
            </w:pPr>
            <w:r w:rsidRPr="006D7BA1">
              <w:rPr>
                <w:rFonts w:ascii="Arial" w:hAnsi="Arial" w:cs="Arial"/>
                <w:b/>
                <w:bCs/>
                <w:sz w:val="20"/>
                <w:szCs w:val="20"/>
                <w:lang w:val="en-GB"/>
              </w:rPr>
              <w:t>GP Signature:</w:t>
            </w:r>
          </w:p>
          <w:p w14:paraId="7B8AB850" w14:textId="77777777" w:rsidR="001A08BF" w:rsidRPr="006D7BA1" w:rsidRDefault="001A08BF" w:rsidP="00176769">
            <w:pPr>
              <w:pStyle w:val="Subtitle"/>
              <w:jc w:val="left"/>
              <w:rPr>
                <w:rFonts w:ascii="Arial" w:hAnsi="Arial" w:cs="Arial"/>
                <w:b/>
                <w:bCs/>
                <w:sz w:val="20"/>
                <w:szCs w:val="20"/>
                <w:lang w:val="en-GB"/>
              </w:rPr>
            </w:pPr>
          </w:p>
        </w:tc>
      </w:tr>
      <w:tr w:rsidR="001A08BF" w:rsidRPr="00063C40" w14:paraId="6CABCFB7" w14:textId="77777777" w:rsidTr="005F3662">
        <w:trPr>
          <w:trHeight w:val="83"/>
          <w:jc w:val="center"/>
        </w:trPr>
        <w:tc>
          <w:tcPr>
            <w:tcW w:w="10509" w:type="dxa"/>
            <w:gridSpan w:val="2"/>
            <w:tcBorders>
              <w:left w:val="single" w:sz="24" w:space="0" w:color="0000FF"/>
              <w:right w:val="single" w:sz="24" w:space="0" w:color="0000FF"/>
            </w:tcBorders>
          </w:tcPr>
          <w:p w14:paraId="5722C9FD" w14:textId="77777777" w:rsidR="001A08BF" w:rsidRPr="002222A2" w:rsidRDefault="001A08BF" w:rsidP="00176769">
            <w:pPr>
              <w:pStyle w:val="Subtitle"/>
              <w:jc w:val="left"/>
              <w:rPr>
                <w:rFonts w:ascii="Arial" w:hAnsi="Arial" w:cs="Arial"/>
                <w:b/>
                <w:bCs/>
                <w:sz w:val="20"/>
                <w:szCs w:val="20"/>
                <w:lang w:val="en-GB"/>
              </w:rPr>
            </w:pPr>
            <w:r w:rsidRPr="006D7BA1">
              <w:rPr>
                <w:rFonts w:ascii="Arial" w:hAnsi="Arial" w:cs="Arial"/>
                <w:b/>
                <w:bCs/>
                <w:sz w:val="20"/>
                <w:szCs w:val="20"/>
                <w:lang w:val="en-GB"/>
              </w:rPr>
              <w:t>Date</w:t>
            </w:r>
            <w:r>
              <w:rPr>
                <w:rFonts w:ascii="Arial" w:hAnsi="Arial" w:cs="Arial"/>
                <w:b/>
                <w:bCs/>
                <w:sz w:val="20"/>
                <w:szCs w:val="20"/>
                <w:lang w:val="en-GB"/>
              </w:rPr>
              <w:t xml:space="preserve"> signed: </w:t>
            </w:r>
          </w:p>
        </w:tc>
      </w:tr>
      <w:tr w:rsidR="001A08BF" w:rsidRPr="003423D2" w14:paraId="74A400B5" w14:textId="77777777" w:rsidTr="005F3662">
        <w:tblPrEx>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PrEx>
        <w:trPr>
          <w:cantSplit/>
          <w:trHeight w:val="1277"/>
          <w:jc w:val="center"/>
        </w:trPr>
        <w:tc>
          <w:tcPr>
            <w:tcW w:w="10509" w:type="dxa"/>
            <w:gridSpan w:val="2"/>
          </w:tcPr>
          <w:p w14:paraId="164C9366" w14:textId="77777777" w:rsidR="001A08BF" w:rsidRPr="006D7BA1" w:rsidRDefault="001A08BF" w:rsidP="00176769">
            <w:pPr>
              <w:pStyle w:val="Subtitle"/>
              <w:rPr>
                <w:rFonts w:ascii="Arial" w:hAnsi="Arial" w:cs="Arial"/>
                <w:b/>
                <w:bCs/>
                <w:color w:val="0000FF"/>
                <w:sz w:val="28"/>
                <w:szCs w:val="28"/>
                <w:lang w:val="en-GB"/>
              </w:rPr>
            </w:pPr>
            <w:r w:rsidRPr="006D7BA1">
              <w:rPr>
                <w:rFonts w:ascii="Arial" w:hAnsi="Arial" w:cs="Arial"/>
                <w:b/>
                <w:bCs/>
                <w:color w:val="0000FF"/>
                <w:sz w:val="28"/>
                <w:szCs w:val="28"/>
                <w:lang w:val="en-GB"/>
              </w:rPr>
              <w:t>ACTION</w:t>
            </w:r>
          </w:p>
          <w:p w14:paraId="12BF6389" w14:textId="77777777" w:rsidR="001A08BF" w:rsidRPr="006D7BA1" w:rsidRDefault="001A08BF" w:rsidP="00176769">
            <w:pPr>
              <w:pStyle w:val="Subtitle"/>
              <w:numPr>
                <w:ilvl w:val="0"/>
                <w:numId w:val="5"/>
              </w:numPr>
              <w:jc w:val="left"/>
              <w:rPr>
                <w:rFonts w:ascii="Arial" w:hAnsi="Arial" w:cs="Arial"/>
                <w:b/>
                <w:bCs/>
                <w:color w:val="0000FF"/>
                <w:sz w:val="20"/>
                <w:szCs w:val="20"/>
                <w:lang w:val="en-GB"/>
              </w:rPr>
            </w:pPr>
            <w:r w:rsidRPr="006D7BA1">
              <w:rPr>
                <w:rFonts w:ascii="Arial" w:hAnsi="Arial" w:cs="Arial"/>
                <w:b/>
                <w:bCs/>
                <w:color w:val="0000FF"/>
                <w:sz w:val="20"/>
                <w:szCs w:val="20"/>
                <w:lang w:val="en-GB"/>
              </w:rPr>
              <w:t>HOSPITAL</w:t>
            </w:r>
            <w:r>
              <w:rPr>
                <w:rFonts w:ascii="Arial" w:hAnsi="Arial" w:cs="Arial"/>
                <w:b/>
                <w:bCs/>
                <w:color w:val="0000FF"/>
                <w:sz w:val="20"/>
                <w:szCs w:val="20"/>
                <w:lang w:val="en-GB"/>
              </w:rPr>
              <w:t xml:space="preserve"> / COMMUNITY</w:t>
            </w:r>
            <w:r w:rsidRPr="006D7BA1">
              <w:rPr>
                <w:rFonts w:ascii="Arial" w:hAnsi="Arial" w:cs="Arial"/>
                <w:b/>
                <w:bCs/>
                <w:color w:val="0000FF"/>
                <w:sz w:val="20"/>
                <w:szCs w:val="20"/>
                <w:lang w:val="en-GB"/>
              </w:rPr>
              <w:t xml:space="preserve"> CONSULTANT</w:t>
            </w:r>
            <w:r>
              <w:rPr>
                <w:rFonts w:ascii="Arial" w:hAnsi="Arial" w:cs="Arial"/>
                <w:b/>
                <w:bCs/>
                <w:color w:val="0000FF"/>
                <w:sz w:val="20"/>
                <w:szCs w:val="20"/>
                <w:lang w:val="en-GB"/>
              </w:rPr>
              <w:t xml:space="preserve">                                                                                              Tick to confirm</w:t>
            </w:r>
          </w:p>
          <w:p w14:paraId="535A2A14" w14:textId="77777777" w:rsidR="001A08BF" w:rsidRPr="006D7BA1" w:rsidRDefault="001A08BF" w:rsidP="00176769">
            <w:pPr>
              <w:pStyle w:val="Subtitle"/>
              <w:numPr>
                <w:ilvl w:val="0"/>
                <w:numId w:val="6"/>
              </w:numPr>
              <w:jc w:val="left"/>
              <w:rPr>
                <w:rFonts w:ascii="Arial" w:hAnsi="Arial" w:cs="Arial"/>
                <w:sz w:val="20"/>
                <w:szCs w:val="20"/>
                <w:lang w:val="en-GB"/>
              </w:rPr>
            </w:pPr>
            <w:r w:rsidRPr="006D7BA1">
              <w:rPr>
                <w:rFonts w:ascii="Arial" w:hAnsi="Arial" w:cs="Arial"/>
                <w:sz w:val="20"/>
                <w:szCs w:val="20"/>
                <w:lang w:val="en-GB"/>
              </w:rPr>
              <w:t>Explain shared care to patient</w:t>
            </w:r>
            <w:r>
              <w:rPr>
                <w:rFonts w:ascii="Arial" w:hAnsi="Arial" w:cs="Arial"/>
                <w:sz w:val="20"/>
                <w:szCs w:val="20"/>
                <w:lang w:val="en-GB"/>
              </w:rPr>
              <w:t>/ carer</w:t>
            </w:r>
            <w:r w:rsidRPr="006D7BA1">
              <w:rPr>
                <w:rFonts w:ascii="Arial" w:hAnsi="Arial" w:cs="Arial"/>
                <w:sz w:val="20"/>
                <w:szCs w:val="20"/>
                <w:lang w:val="en-GB"/>
              </w:rPr>
              <w:t xml:space="preserve"> and obtain agreement</w:t>
            </w:r>
            <w:r>
              <w:rPr>
                <w:rFonts w:ascii="Arial" w:hAnsi="Arial" w:cs="Arial"/>
                <w:sz w:val="20"/>
                <w:szCs w:val="20"/>
                <w:lang w:val="en-GB"/>
              </w:rPr>
              <w:t xml:space="preserve">          Date agreement </w:t>
            </w:r>
            <w:proofErr w:type="gramStart"/>
            <w:r>
              <w:rPr>
                <w:rFonts w:ascii="Arial" w:hAnsi="Arial" w:cs="Arial"/>
                <w:sz w:val="20"/>
                <w:szCs w:val="20"/>
                <w:lang w:val="en-GB"/>
              </w:rPr>
              <w:t>obtained:_</w:t>
            </w:r>
            <w:proofErr w:type="gramEnd"/>
            <w:r>
              <w:rPr>
                <w:rFonts w:ascii="Arial" w:hAnsi="Arial" w:cs="Arial"/>
                <w:sz w:val="20"/>
                <w:szCs w:val="20"/>
                <w:lang w:val="en-GB"/>
              </w:rPr>
              <w:t>________</w:t>
            </w:r>
            <w:r w:rsidR="00F81865">
              <w:rPr>
                <w:rFonts w:ascii="Arial" w:hAnsi="Arial" w:cs="Arial"/>
                <w:sz w:val="20"/>
                <w:szCs w:val="20"/>
                <w:lang w:val="en-GB"/>
              </w:rPr>
              <w:t xml:space="preserve">  </w:t>
            </w:r>
            <w:r w:rsidRPr="00E300CD">
              <w:rPr>
                <w:rFonts w:ascii="Arial" w:hAnsi="Arial" w:cs="Arial"/>
                <w:lang w:val="en-GB"/>
              </w:rPr>
              <w:sym w:font="Wingdings" w:char="F06F"/>
            </w:r>
            <w:r>
              <w:rPr>
                <w:rFonts w:ascii="Arial" w:hAnsi="Arial" w:cs="Arial"/>
                <w:sz w:val="20"/>
                <w:szCs w:val="20"/>
                <w:lang w:val="en-GB"/>
              </w:rPr>
              <w:t xml:space="preserve">                         </w:t>
            </w:r>
          </w:p>
          <w:p w14:paraId="450D1AA8" w14:textId="77777777" w:rsidR="001A08BF" w:rsidRPr="006D7BA1" w:rsidRDefault="001A08BF" w:rsidP="00176769">
            <w:pPr>
              <w:pStyle w:val="Subtitle"/>
              <w:numPr>
                <w:ilvl w:val="0"/>
                <w:numId w:val="6"/>
              </w:numPr>
              <w:jc w:val="left"/>
              <w:rPr>
                <w:rFonts w:ascii="Arial" w:hAnsi="Arial" w:cs="Arial"/>
                <w:sz w:val="20"/>
                <w:szCs w:val="20"/>
                <w:lang w:val="en-GB"/>
              </w:rPr>
            </w:pPr>
            <w:r w:rsidRPr="006D7BA1">
              <w:rPr>
                <w:rFonts w:ascii="Arial" w:hAnsi="Arial" w:cs="Arial"/>
                <w:sz w:val="20"/>
                <w:szCs w:val="20"/>
                <w:lang w:val="en-GB"/>
              </w:rPr>
              <w:t>Indicate requesting hospital</w:t>
            </w:r>
            <w:r>
              <w:rPr>
                <w:rFonts w:ascii="Arial" w:hAnsi="Arial" w:cs="Arial"/>
                <w:sz w:val="20"/>
                <w:szCs w:val="20"/>
                <w:lang w:val="en-GB"/>
              </w:rPr>
              <w:t xml:space="preserve"> /clinic                                                                                                      </w:t>
            </w:r>
            <w:r w:rsidR="0022439A">
              <w:rPr>
                <w:rFonts w:ascii="Arial" w:hAnsi="Arial" w:cs="Arial"/>
                <w:sz w:val="20"/>
                <w:szCs w:val="20"/>
                <w:lang w:val="en-GB"/>
              </w:rPr>
              <w:t xml:space="preserve">       </w:t>
            </w:r>
            <w:r w:rsidR="005F3662">
              <w:rPr>
                <w:rFonts w:ascii="Arial" w:hAnsi="Arial" w:cs="Arial"/>
                <w:sz w:val="20"/>
                <w:szCs w:val="20"/>
                <w:lang w:val="en-GB"/>
              </w:rPr>
              <w:t xml:space="preserve">  </w:t>
            </w:r>
            <w:r w:rsidR="00F81865">
              <w:rPr>
                <w:rFonts w:ascii="Arial" w:hAnsi="Arial" w:cs="Arial"/>
                <w:sz w:val="20"/>
                <w:szCs w:val="20"/>
                <w:lang w:val="en-GB"/>
              </w:rPr>
              <w:t xml:space="preserve"> </w:t>
            </w:r>
            <w:r w:rsidRPr="00E300CD">
              <w:rPr>
                <w:rFonts w:ascii="Arial" w:hAnsi="Arial" w:cs="Arial"/>
                <w:lang w:val="en-GB"/>
              </w:rPr>
              <w:sym w:font="Wingdings" w:char="F06F"/>
            </w:r>
          </w:p>
          <w:p w14:paraId="22C46D42" w14:textId="77777777" w:rsidR="001A08BF" w:rsidRPr="00C600F3" w:rsidRDefault="001A08BF" w:rsidP="00176769">
            <w:pPr>
              <w:pStyle w:val="Subtitle"/>
              <w:numPr>
                <w:ilvl w:val="0"/>
                <w:numId w:val="6"/>
              </w:numPr>
              <w:jc w:val="left"/>
              <w:rPr>
                <w:rFonts w:ascii="Arial" w:hAnsi="Arial" w:cs="Arial"/>
                <w:sz w:val="20"/>
                <w:szCs w:val="20"/>
                <w:lang w:val="en-GB"/>
              </w:rPr>
            </w:pPr>
            <w:r w:rsidRPr="006D7BA1">
              <w:rPr>
                <w:rFonts w:ascii="Arial" w:hAnsi="Arial" w:cs="Arial"/>
                <w:sz w:val="20"/>
                <w:szCs w:val="20"/>
                <w:lang w:val="en-GB"/>
              </w:rPr>
              <w:t>Complete and sign agreement</w:t>
            </w:r>
            <w:r>
              <w:rPr>
                <w:rFonts w:ascii="Arial" w:hAnsi="Arial" w:cs="Arial"/>
                <w:sz w:val="20"/>
                <w:szCs w:val="20"/>
                <w:lang w:val="en-GB"/>
              </w:rPr>
              <w:t xml:space="preserve">                                                                                                           </w:t>
            </w:r>
            <w:r w:rsidR="0022439A">
              <w:rPr>
                <w:rFonts w:ascii="Arial" w:hAnsi="Arial" w:cs="Arial"/>
                <w:sz w:val="20"/>
                <w:szCs w:val="20"/>
                <w:lang w:val="en-GB"/>
              </w:rPr>
              <w:t xml:space="preserve">       </w:t>
            </w:r>
            <w:r w:rsidR="005F3662">
              <w:rPr>
                <w:rFonts w:ascii="Arial" w:hAnsi="Arial" w:cs="Arial"/>
                <w:sz w:val="20"/>
                <w:szCs w:val="20"/>
                <w:lang w:val="en-GB"/>
              </w:rPr>
              <w:t xml:space="preserve">  </w:t>
            </w:r>
            <w:r w:rsidR="00F81865">
              <w:rPr>
                <w:rFonts w:ascii="Arial" w:hAnsi="Arial" w:cs="Arial"/>
                <w:sz w:val="20"/>
                <w:szCs w:val="20"/>
                <w:lang w:val="en-GB"/>
              </w:rPr>
              <w:t xml:space="preserve"> </w:t>
            </w:r>
            <w:r w:rsidRPr="00C600F3">
              <w:rPr>
                <w:rFonts w:ascii="Arial" w:hAnsi="Arial" w:cs="Arial"/>
                <w:lang w:val="en-GB"/>
              </w:rPr>
              <w:sym w:font="Wingdings" w:char="F06F"/>
            </w:r>
            <w:r>
              <w:rPr>
                <w:rFonts w:ascii="Arial" w:hAnsi="Arial" w:cs="Arial"/>
                <w:sz w:val="20"/>
                <w:szCs w:val="20"/>
                <w:lang w:val="en-GB"/>
              </w:rPr>
              <w:t xml:space="preserve"> </w:t>
            </w:r>
          </w:p>
          <w:p w14:paraId="64A048BA" w14:textId="77777777" w:rsidR="001A08BF" w:rsidRPr="00F81865" w:rsidRDefault="00F81865" w:rsidP="00176769">
            <w:pPr>
              <w:pStyle w:val="Subtitle"/>
              <w:numPr>
                <w:ilvl w:val="0"/>
                <w:numId w:val="6"/>
              </w:numPr>
              <w:jc w:val="left"/>
              <w:rPr>
                <w:rFonts w:ascii="Arial" w:hAnsi="Arial" w:cs="Arial"/>
                <w:sz w:val="20"/>
                <w:szCs w:val="20"/>
                <w:lang w:val="en-GB"/>
              </w:rPr>
            </w:pPr>
            <w:r>
              <w:rPr>
                <w:rFonts w:ascii="Arial" w:hAnsi="Arial" w:cs="Arial"/>
                <w:sz w:val="20"/>
                <w:szCs w:val="20"/>
                <w:lang w:val="en-GB"/>
              </w:rPr>
              <w:t>E</w:t>
            </w:r>
            <w:r w:rsidR="001A08BF" w:rsidRPr="006D7BA1">
              <w:rPr>
                <w:rFonts w:ascii="Arial" w:hAnsi="Arial" w:cs="Arial"/>
                <w:sz w:val="20"/>
                <w:szCs w:val="20"/>
                <w:lang w:val="en-GB"/>
              </w:rPr>
              <w:t>mail full shared care guideline (inc</w:t>
            </w:r>
            <w:r w:rsidR="001A08BF">
              <w:rPr>
                <w:rFonts w:ascii="Arial" w:hAnsi="Arial" w:cs="Arial"/>
                <w:sz w:val="20"/>
                <w:szCs w:val="20"/>
                <w:lang w:val="en-GB"/>
              </w:rPr>
              <w:t xml:space="preserve">luding signed agreement to </w:t>
            </w:r>
            <w:proofErr w:type="gramStart"/>
            <w:r w:rsidR="001A08BF">
              <w:rPr>
                <w:rFonts w:ascii="Arial" w:hAnsi="Arial" w:cs="Arial"/>
                <w:sz w:val="20"/>
                <w:szCs w:val="20"/>
                <w:lang w:val="en-GB"/>
              </w:rPr>
              <w:t>GP)</w:t>
            </w:r>
            <w:r>
              <w:rPr>
                <w:rFonts w:ascii="Arial" w:hAnsi="Arial" w:cs="Arial"/>
                <w:sz w:val="20"/>
                <w:szCs w:val="20"/>
                <w:lang w:val="en-GB"/>
              </w:rPr>
              <w:t xml:space="preserve">   </w:t>
            </w:r>
            <w:proofErr w:type="gramEnd"/>
            <w:r>
              <w:rPr>
                <w:rFonts w:ascii="Arial" w:hAnsi="Arial" w:cs="Arial"/>
                <w:sz w:val="20"/>
                <w:szCs w:val="20"/>
                <w:lang w:val="en-GB"/>
              </w:rPr>
              <w:t xml:space="preserve">                                                       </w:t>
            </w:r>
            <w:r w:rsidR="001A08BF" w:rsidRPr="00E300CD">
              <w:rPr>
                <w:rFonts w:ascii="Arial" w:hAnsi="Arial" w:cs="Arial"/>
                <w:lang w:val="en-GB"/>
              </w:rPr>
              <w:sym w:font="Wingdings" w:char="F06F"/>
            </w:r>
            <w:r w:rsidR="001A08BF">
              <w:t xml:space="preserve">                                                                                                                              </w:t>
            </w:r>
          </w:p>
          <w:p w14:paraId="7412F9E8" w14:textId="77777777" w:rsidR="001A08BF" w:rsidRPr="006D7BA1" w:rsidRDefault="001A08BF" w:rsidP="00176769">
            <w:pPr>
              <w:pStyle w:val="Subtitle"/>
              <w:numPr>
                <w:ilvl w:val="0"/>
                <w:numId w:val="6"/>
              </w:numPr>
              <w:jc w:val="left"/>
              <w:rPr>
                <w:rFonts w:ascii="Arial" w:hAnsi="Arial" w:cs="Arial"/>
                <w:sz w:val="20"/>
                <w:szCs w:val="20"/>
                <w:lang w:val="en-GB"/>
              </w:rPr>
            </w:pPr>
            <w:r w:rsidRPr="006D7BA1">
              <w:rPr>
                <w:rFonts w:ascii="Arial" w:hAnsi="Arial" w:cs="Arial"/>
                <w:sz w:val="20"/>
                <w:szCs w:val="20"/>
                <w:lang w:val="en-GB"/>
              </w:rPr>
              <w:t>Place original in patient’s notes</w:t>
            </w:r>
            <w:r>
              <w:rPr>
                <w:rFonts w:ascii="Arial" w:hAnsi="Arial" w:cs="Arial"/>
                <w:sz w:val="20"/>
                <w:szCs w:val="20"/>
                <w:lang w:val="en-GB"/>
              </w:rPr>
              <w:t xml:space="preserve">                                                                                                          </w:t>
            </w:r>
            <w:r w:rsidR="0022439A">
              <w:rPr>
                <w:rFonts w:ascii="Arial" w:hAnsi="Arial" w:cs="Arial"/>
                <w:sz w:val="20"/>
                <w:szCs w:val="20"/>
                <w:lang w:val="en-GB"/>
              </w:rPr>
              <w:t xml:space="preserve">      </w:t>
            </w:r>
            <w:r w:rsidR="005F3662">
              <w:rPr>
                <w:rFonts w:ascii="Arial" w:hAnsi="Arial" w:cs="Arial"/>
                <w:sz w:val="20"/>
                <w:szCs w:val="20"/>
                <w:lang w:val="en-GB"/>
              </w:rPr>
              <w:t xml:space="preserve">  </w:t>
            </w:r>
            <w:r w:rsidR="0011162F">
              <w:rPr>
                <w:rFonts w:ascii="Arial" w:hAnsi="Arial" w:cs="Arial"/>
                <w:sz w:val="20"/>
                <w:szCs w:val="20"/>
                <w:lang w:val="en-GB"/>
              </w:rPr>
              <w:t xml:space="preserve">  </w:t>
            </w:r>
            <w:r w:rsidRPr="00E300CD">
              <w:rPr>
                <w:rFonts w:ascii="Arial" w:hAnsi="Arial" w:cs="Arial"/>
                <w:lang w:val="en-GB"/>
              </w:rPr>
              <w:sym w:font="Wingdings" w:char="F06F"/>
            </w:r>
          </w:p>
          <w:p w14:paraId="170A4088" w14:textId="77777777" w:rsidR="001A08BF" w:rsidRPr="006D7BA1" w:rsidRDefault="001A08BF" w:rsidP="00176769">
            <w:pPr>
              <w:pStyle w:val="Subtitle"/>
              <w:jc w:val="left"/>
              <w:rPr>
                <w:rFonts w:ascii="Arial" w:hAnsi="Arial" w:cs="Arial"/>
                <w:sz w:val="20"/>
                <w:szCs w:val="20"/>
                <w:lang w:val="en-GB"/>
              </w:rPr>
            </w:pPr>
          </w:p>
          <w:p w14:paraId="7F5A4FA2" w14:textId="77777777" w:rsidR="001A08BF" w:rsidRPr="006D7BA1" w:rsidRDefault="001A08BF" w:rsidP="00176769">
            <w:pPr>
              <w:pStyle w:val="Subtitle"/>
              <w:numPr>
                <w:ilvl w:val="0"/>
                <w:numId w:val="5"/>
              </w:numPr>
              <w:jc w:val="left"/>
              <w:rPr>
                <w:rFonts w:ascii="Arial" w:hAnsi="Arial" w:cs="Arial"/>
                <w:b/>
                <w:bCs/>
                <w:color w:val="0000FF"/>
                <w:sz w:val="20"/>
                <w:szCs w:val="20"/>
                <w:lang w:val="en-GB"/>
              </w:rPr>
            </w:pPr>
            <w:r w:rsidRPr="006D7BA1">
              <w:rPr>
                <w:rFonts w:ascii="Arial" w:hAnsi="Arial" w:cs="Arial"/>
                <w:b/>
                <w:bCs/>
                <w:color w:val="0000FF"/>
                <w:sz w:val="20"/>
                <w:szCs w:val="20"/>
                <w:lang w:val="en-GB"/>
              </w:rPr>
              <w:t>GP PRACTICE</w:t>
            </w:r>
            <w:r w:rsidRPr="006D7BA1">
              <w:rPr>
                <w:rFonts w:ascii="Arial" w:hAnsi="Arial" w:cs="Arial"/>
                <w:b/>
                <w:bCs/>
                <w:color w:val="0000FF"/>
                <w:sz w:val="20"/>
                <w:szCs w:val="20"/>
                <w:lang w:val="en-GB"/>
              </w:rPr>
              <w:tab/>
            </w:r>
          </w:p>
          <w:p w14:paraId="46ADFCD3" w14:textId="77777777" w:rsidR="001A08BF" w:rsidRDefault="001A08BF" w:rsidP="00176769">
            <w:pPr>
              <w:pStyle w:val="Subtitle"/>
              <w:numPr>
                <w:ilvl w:val="0"/>
                <w:numId w:val="4"/>
              </w:numPr>
              <w:tabs>
                <w:tab w:val="clear" w:pos="1364"/>
              </w:tabs>
              <w:ind w:left="234" w:hanging="234"/>
              <w:jc w:val="left"/>
              <w:rPr>
                <w:rFonts w:ascii="Arial" w:hAnsi="Arial" w:cs="Arial"/>
                <w:sz w:val="20"/>
                <w:szCs w:val="20"/>
                <w:lang w:val="en-GB"/>
              </w:rPr>
            </w:pPr>
            <w:r w:rsidRPr="006D7BA1">
              <w:rPr>
                <w:rFonts w:ascii="Arial" w:hAnsi="Arial" w:cs="Arial"/>
                <w:sz w:val="20"/>
                <w:szCs w:val="20"/>
                <w:lang w:val="en-GB"/>
              </w:rPr>
              <w:t xml:space="preserve">If </w:t>
            </w:r>
            <w:r w:rsidRPr="006D7BA1">
              <w:rPr>
                <w:rFonts w:ascii="Arial" w:hAnsi="Arial" w:cs="Arial"/>
                <w:b/>
                <w:bCs/>
                <w:sz w:val="20"/>
                <w:szCs w:val="20"/>
                <w:lang w:val="en-GB"/>
              </w:rPr>
              <w:t>in agreement</w:t>
            </w:r>
            <w:r w:rsidRPr="006D7BA1">
              <w:rPr>
                <w:rFonts w:ascii="Arial" w:hAnsi="Arial" w:cs="Arial"/>
                <w:sz w:val="20"/>
                <w:szCs w:val="20"/>
                <w:lang w:val="en-GB"/>
              </w:rPr>
              <w:t xml:space="preserve"> to participate in shared care, sign and email</w:t>
            </w:r>
            <w:r>
              <w:rPr>
                <w:rFonts w:ascii="Arial" w:hAnsi="Arial" w:cs="Arial"/>
                <w:sz w:val="20"/>
                <w:szCs w:val="20"/>
                <w:lang w:val="en-GB"/>
              </w:rPr>
              <w:t xml:space="preserve"> (via secure NHS.net)</w:t>
            </w:r>
            <w:r w:rsidRPr="006D7BA1">
              <w:rPr>
                <w:rFonts w:ascii="Arial" w:hAnsi="Arial" w:cs="Arial"/>
                <w:sz w:val="20"/>
                <w:szCs w:val="20"/>
                <w:lang w:val="en-GB"/>
              </w:rPr>
              <w:t xml:space="preserve"> this sheet back </w:t>
            </w:r>
            <w:r w:rsidRPr="00246BB1">
              <w:rPr>
                <w:rFonts w:ascii="Arial" w:hAnsi="Arial" w:cs="Arial"/>
                <w:b/>
                <w:sz w:val="20"/>
                <w:szCs w:val="20"/>
                <w:lang w:val="en-GB"/>
              </w:rPr>
              <w:t>within 2 weeks</w:t>
            </w:r>
            <w:r w:rsidRPr="006D7BA1">
              <w:rPr>
                <w:rFonts w:ascii="Arial" w:hAnsi="Arial" w:cs="Arial"/>
                <w:sz w:val="20"/>
                <w:szCs w:val="20"/>
                <w:lang w:val="en-GB"/>
              </w:rPr>
              <w:t xml:space="preserve"> of receipt</w:t>
            </w:r>
            <w:r w:rsidRPr="006D7BA1">
              <w:rPr>
                <w:rFonts w:ascii="Arial" w:hAnsi="Arial" w:cs="Arial"/>
                <w:b/>
                <w:bCs/>
                <w:sz w:val="20"/>
                <w:szCs w:val="20"/>
                <w:lang w:val="en-GB"/>
              </w:rPr>
              <w:t xml:space="preserve"> of </w:t>
            </w:r>
            <w:r>
              <w:rPr>
                <w:rFonts w:ascii="Arial" w:hAnsi="Arial" w:cs="Arial"/>
                <w:b/>
                <w:bCs/>
                <w:sz w:val="20"/>
                <w:szCs w:val="20"/>
                <w:lang w:val="en-GB"/>
              </w:rPr>
              <w:t>request</w:t>
            </w:r>
            <w:r w:rsidRPr="006D7BA1">
              <w:rPr>
                <w:rFonts w:ascii="Arial" w:hAnsi="Arial" w:cs="Arial"/>
                <w:b/>
                <w:bCs/>
                <w:sz w:val="20"/>
                <w:szCs w:val="20"/>
                <w:lang w:val="en-GB"/>
              </w:rPr>
              <w:t xml:space="preserve"> from </w:t>
            </w:r>
            <w:r>
              <w:rPr>
                <w:rFonts w:ascii="Arial" w:hAnsi="Arial" w:cs="Arial"/>
                <w:b/>
                <w:bCs/>
                <w:sz w:val="20"/>
                <w:szCs w:val="20"/>
                <w:lang w:val="en-GB"/>
              </w:rPr>
              <w:t>specialist</w:t>
            </w:r>
            <w:r w:rsidRPr="006D7BA1">
              <w:rPr>
                <w:rFonts w:ascii="Arial" w:hAnsi="Arial" w:cs="Arial"/>
                <w:b/>
                <w:bCs/>
                <w:sz w:val="20"/>
                <w:szCs w:val="20"/>
                <w:lang w:val="en-GB"/>
              </w:rPr>
              <w:t xml:space="preserve"> </w:t>
            </w:r>
            <w:r w:rsidRPr="006D7BA1">
              <w:rPr>
                <w:rFonts w:ascii="Arial" w:hAnsi="Arial" w:cs="Arial"/>
                <w:sz w:val="20"/>
                <w:szCs w:val="20"/>
                <w:lang w:val="en-GB"/>
              </w:rPr>
              <w:t>to either:</w:t>
            </w:r>
          </w:p>
          <w:p w14:paraId="1BC917FA" w14:textId="77777777" w:rsidR="001A08BF" w:rsidRDefault="001A08BF" w:rsidP="00176769">
            <w:pPr>
              <w:pStyle w:val="Subtitle"/>
              <w:ind w:left="234"/>
              <w:jc w:val="left"/>
              <w:rPr>
                <w:rFonts w:ascii="Arial" w:hAnsi="Arial" w:cs="Arial"/>
                <w:sz w:val="20"/>
                <w:szCs w:val="20"/>
                <w:lang w:val="en-GB"/>
              </w:rPr>
            </w:pPr>
          </w:p>
          <w:p w14:paraId="0CA985D3" w14:textId="77777777" w:rsidR="001A08BF" w:rsidRPr="006936BF" w:rsidRDefault="001A08BF" w:rsidP="00176769">
            <w:pPr>
              <w:pStyle w:val="Subtitle"/>
              <w:ind w:left="234" w:hanging="234"/>
              <w:jc w:val="left"/>
              <w:rPr>
                <w:rFonts w:ascii="Arial" w:hAnsi="Arial" w:cs="Arial"/>
                <w:sz w:val="20"/>
                <w:szCs w:val="20"/>
                <w:lang w:val="en-GB"/>
              </w:rPr>
            </w:pPr>
            <w:r w:rsidRPr="006936BF">
              <w:rPr>
                <w:rFonts w:ascii="Arial" w:hAnsi="Arial" w:cs="Arial"/>
                <w:sz w:val="20"/>
                <w:szCs w:val="20"/>
                <w:lang w:val="en-GB"/>
              </w:rPr>
              <w:t>Email address (via secure nhs.net</w:t>
            </w:r>
            <w:proofErr w:type="gramStart"/>
            <w:r w:rsidRPr="006936BF">
              <w:rPr>
                <w:rFonts w:ascii="Arial" w:hAnsi="Arial" w:cs="Arial"/>
                <w:sz w:val="20"/>
                <w:szCs w:val="20"/>
                <w:lang w:val="en-GB"/>
              </w:rPr>
              <w:t>):…</w:t>
            </w:r>
            <w:proofErr w:type="gramEnd"/>
            <w:r w:rsidRPr="006936BF">
              <w:rPr>
                <w:rFonts w:ascii="Arial" w:hAnsi="Arial" w:cs="Arial"/>
                <w:sz w:val="20"/>
                <w:szCs w:val="20"/>
                <w:lang w:val="en-GB"/>
              </w:rPr>
              <w:t xml:space="preserve">…………………………………. </w:t>
            </w:r>
            <w:r w:rsidR="00F81865">
              <w:rPr>
                <w:rFonts w:ascii="Arial" w:hAnsi="Arial" w:cs="Arial"/>
                <w:sz w:val="20"/>
                <w:szCs w:val="20"/>
                <w:lang w:val="en-GB"/>
              </w:rPr>
              <w:t xml:space="preserve">[TRUST to ADD email address]  </w:t>
            </w:r>
          </w:p>
          <w:p w14:paraId="5E7FA560" w14:textId="77777777" w:rsidR="001A08BF" w:rsidRPr="000A5AB8" w:rsidRDefault="001A08BF" w:rsidP="00176769">
            <w:pPr>
              <w:pStyle w:val="Subtitle"/>
              <w:jc w:val="left"/>
              <w:rPr>
                <w:rFonts w:ascii="Arial" w:hAnsi="Arial" w:cs="Arial"/>
                <w:b/>
                <w:color w:val="FF0000"/>
                <w:sz w:val="20"/>
                <w:szCs w:val="20"/>
                <w:lang w:val="en-GB"/>
              </w:rPr>
            </w:pPr>
          </w:p>
          <w:p w14:paraId="61F836C7" w14:textId="4877B7C8" w:rsidR="001A08BF" w:rsidRPr="006D7BA1" w:rsidRDefault="001A08BF" w:rsidP="00176769">
            <w:pPr>
              <w:pStyle w:val="Subtitle"/>
              <w:numPr>
                <w:ilvl w:val="0"/>
                <w:numId w:val="4"/>
              </w:numPr>
              <w:tabs>
                <w:tab w:val="clear" w:pos="1364"/>
              </w:tabs>
              <w:ind w:left="234" w:hanging="234"/>
              <w:jc w:val="left"/>
              <w:rPr>
                <w:rFonts w:ascii="Arial" w:hAnsi="Arial" w:cs="Arial"/>
                <w:sz w:val="20"/>
                <w:szCs w:val="20"/>
                <w:lang w:val="en-GB"/>
              </w:rPr>
            </w:pPr>
            <w:r w:rsidRPr="006D7BA1">
              <w:rPr>
                <w:rFonts w:ascii="Arial" w:hAnsi="Arial" w:cs="Arial"/>
                <w:sz w:val="20"/>
                <w:szCs w:val="20"/>
                <w:lang w:val="en-GB"/>
              </w:rPr>
              <w:t>If</w:t>
            </w:r>
            <w:r w:rsidRPr="006D7BA1">
              <w:rPr>
                <w:rFonts w:ascii="Arial" w:hAnsi="Arial" w:cs="Arial"/>
                <w:b/>
                <w:bCs/>
                <w:color w:val="0000FF"/>
                <w:sz w:val="20"/>
                <w:szCs w:val="20"/>
                <w:lang w:val="en-GB"/>
              </w:rPr>
              <w:t xml:space="preserve"> </w:t>
            </w:r>
            <w:r w:rsidRPr="00642936">
              <w:rPr>
                <w:rFonts w:ascii="Arial" w:hAnsi="Arial" w:cs="Arial"/>
                <w:b/>
                <w:bCs/>
                <w:sz w:val="20"/>
                <w:szCs w:val="20"/>
                <w:lang w:val="en-GB"/>
              </w:rPr>
              <w:t>you</w:t>
            </w:r>
            <w:r>
              <w:rPr>
                <w:rFonts w:ascii="Arial" w:hAnsi="Arial" w:cs="Arial"/>
                <w:b/>
                <w:bCs/>
                <w:color w:val="0000FF"/>
                <w:sz w:val="20"/>
                <w:szCs w:val="20"/>
                <w:lang w:val="en-GB"/>
              </w:rPr>
              <w:t xml:space="preserve"> </w:t>
            </w:r>
            <w:r w:rsidRPr="006D7BA1">
              <w:rPr>
                <w:rFonts w:ascii="Arial" w:hAnsi="Arial" w:cs="Arial"/>
                <w:b/>
                <w:bCs/>
                <w:sz w:val="20"/>
                <w:szCs w:val="20"/>
                <w:lang w:val="en-GB"/>
              </w:rPr>
              <w:t>do not agree</w:t>
            </w:r>
            <w:r w:rsidRPr="006D7BA1">
              <w:rPr>
                <w:rFonts w:ascii="Arial" w:hAnsi="Arial" w:cs="Arial"/>
                <w:sz w:val="20"/>
                <w:szCs w:val="20"/>
                <w:lang w:val="en-GB"/>
              </w:rPr>
              <w:t xml:space="preserve"> to participate in shared care, contact consu</w:t>
            </w:r>
            <w:r w:rsidR="002132CF">
              <w:rPr>
                <w:rFonts w:ascii="Arial" w:hAnsi="Arial" w:cs="Arial"/>
                <w:sz w:val="20"/>
                <w:szCs w:val="20"/>
                <w:lang w:val="en-GB"/>
              </w:rPr>
              <w:t>ltant and local Primary Care Borough</w:t>
            </w:r>
            <w:r w:rsidRPr="006D7BA1">
              <w:rPr>
                <w:rFonts w:ascii="Arial" w:hAnsi="Arial" w:cs="Arial"/>
                <w:sz w:val="20"/>
                <w:szCs w:val="20"/>
                <w:lang w:val="en-GB"/>
              </w:rPr>
              <w:t xml:space="preserve"> Medicines Management Team within 2 weeks of receipt to discuss. If after discussion </w:t>
            </w:r>
            <w:r w:rsidRPr="006D7BA1">
              <w:rPr>
                <w:rFonts w:ascii="Arial" w:hAnsi="Arial" w:cs="Arial"/>
                <w:sz w:val="20"/>
                <w:szCs w:val="20"/>
              </w:rPr>
              <w:t>it is agreed not to undertake shared care for this patient, both the consultan</w:t>
            </w:r>
            <w:r w:rsidR="002132CF">
              <w:rPr>
                <w:rFonts w:ascii="Arial" w:hAnsi="Arial" w:cs="Arial"/>
                <w:sz w:val="20"/>
                <w:szCs w:val="20"/>
              </w:rPr>
              <w:t xml:space="preserve">t and the local Primary Care Borough </w:t>
            </w:r>
            <w:r w:rsidRPr="006D7BA1">
              <w:rPr>
                <w:rFonts w:ascii="Arial" w:hAnsi="Arial" w:cs="Arial"/>
                <w:sz w:val="20"/>
                <w:szCs w:val="20"/>
              </w:rPr>
              <w:t xml:space="preserve">Medicines Management team should be informed. </w:t>
            </w:r>
          </w:p>
          <w:p w14:paraId="0A5A6782" w14:textId="77777777" w:rsidR="001A08BF" w:rsidRDefault="001A08BF" w:rsidP="00176769">
            <w:pPr>
              <w:pStyle w:val="Subtitle"/>
              <w:numPr>
                <w:ilvl w:val="0"/>
                <w:numId w:val="4"/>
              </w:numPr>
              <w:tabs>
                <w:tab w:val="clear" w:pos="1364"/>
              </w:tabs>
              <w:ind w:left="234" w:hanging="234"/>
              <w:jc w:val="left"/>
              <w:rPr>
                <w:rFonts w:ascii="Arial" w:hAnsi="Arial" w:cs="Arial"/>
                <w:sz w:val="20"/>
                <w:szCs w:val="20"/>
                <w:lang w:val="en-GB"/>
              </w:rPr>
            </w:pPr>
            <w:r w:rsidRPr="006D7BA1">
              <w:rPr>
                <w:rFonts w:ascii="Arial" w:hAnsi="Arial" w:cs="Arial"/>
                <w:sz w:val="20"/>
                <w:szCs w:val="20"/>
                <w:lang w:val="en-GB"/>
              </w:rPr>
              <w:t>Once decision reached file a copy in the Patient’s medical notes.</w:t>
            </w:r>
            <w:r w:rsidRPr="006D7BA1" w:rsidDel="00A92A2F">
              <w:rPr>
                <w:rFonts w:ascii="Arial" w:hAnsi="Arial" w:cs="Arial"/>
                <w:sz w:val="20"/>
                <w:szCs w:val="20"/>
                <w:lang w:val="en-GB"/>
              </w:rPr>
              <w:t xml:space="preserve"> </w:t>
            </w:r>
          </w:p>
          <w:p w14:paraId="49419954" w14:textId="77777777" w:rsidR="00553F94" w:rsidRPr="0022439A" w:rsidRDefault="00553F94" w:rsidP="00553F94">
            <w:pPr>
              <w:pStyle w:val="Subtitle"/>
              <w:ind w:left="234"/>
              <w:jc w:val="left"/>
              <w:rPr>
                <w:rFonts w:ascii="Arial" w:hAnsi="Arial" w:cs="Arial"/>
                <w:sz w:val="20"/>
                <w:szCs w:val="20"/>
                <w:lang w:val="en-GB"/>
              </w:rPr>
            </w:pPr>
          </w:p>
        </w:tc>
      </w:tr>
    </w:tbl>
    <w:p w14:paraId="52BC0DBF" w14:textId="77777777" w:rsidR="00834C7C" w:rsidRPr="00387F17" w:rsidRDefault="00834C7C" w:rsidP="005F3662">
      <w:pPr>
        <w:tabs>
          <w:tab w:val="right" w:pos="360"/>
          <w:tab w:val="left" w:pos="540"/>
        </w:tabs>
        <w:ind w:right="510"/>
        <w:jc w:val="both"/>
        <w:rPr>
          <w:rFonts w:ascii="Arial" w:hAnsi="Arial" w:cs="Arial"/>
          <w:sz w:val="24"/>
          <w:szCs w:val="24"/>
        </w:rPr>
      </w:pPr>
    </w:p>
    <w:p w14:paraId="13684B1B" w14:textId="77777777" w:rsidR="00834C7C" w:rsidRPr="00387F17" w:rsidRDefault="00834C7C" w:rsidP="00D15CD9">
      <w:pPr>
        <w:tabs>
          <w:tab w:val="right" w:pos="360"/>
          <w:tab w:val="left" w:pos="540"/>
        </w:tabs>
        <w:ind w:left="-142" w:right="510"/>
        <w:jc w:val="both"/>
        <w:rPr>
          <w:rFonts w:ascii="Arial" w:hAnsi="Arial" w:cs="Arial"/>
          <w:sz w:val="24"/>
          <w:szCs w:val="24"/>
        </w:rPr>
      </w:pPr>
      <w:r w:rsidRPr="00387F17">
        <w:rPr>
          <w:sz w:val="24"/>
          <w:szCs w:val="24"/>
        </w:rPr>
        <w:t xml:space="preserve">                                                                                                                                              </w:t>
      </w:r>
    </w:p>
    <w:p w14:paraId="231601CF" w14:textId="07EC1C49" w:rsidR="00834C7C" w:rsidRDefault="00834C7C" w:rsidP="00D15CD9">
      <w:pPr>
        <w:tabs>
          <w:tab w:val="right" w:pos="360"/>
          <w:tab w:val="left" w:pos="540"/>
        </w:tabs>
        <w:ind w:left="-142" w:right="510"/>
        <w:jc w:val="both"/>
        <w:rPr>
          <w:rFonts w:ascii="Arial" w:hAnsi="Arial" w:cs="Arial"/>
          <w:sz w:val="24"/>
          <w:szCs w:val="24"/>
        </w:rPr>
      </w:pPr>
    </w:p>
    <w:p w14:paraId="14949704" w14:textId="77777777" w:rsidR="002132CF" w:rsidRDefault="002132CF" w:rsidP="00D15CD9">
      <w:pPr>
        <w:tabs>
          <w:tab w:val="right" w:pos="360"/>
          <w:tab w:val="left" w:pos="540"/>
        </w:tabs>
        <w:ind w:left="-142" w:right="510"/>
        <w:jc w:val="both"/>
        <w:rPr>
          <w:rFonts w:ascii="Arial" w:hAnsi="Arial" w:cs="Arial"/>
          <w:sz w:val="24"/>
          <w:szCs w:val="24"/>
        </w:rPr>
      </w:pPr>
    </w:p>
    <w:p w14:paraId="63085FA5" w14:textId="77777777" w:rsidR="002132CF" w:rsidRDefault="002132CF" w:rsidP="00D15CD9">
      <w:pPr>
        <w:tabs>
          <w:tab w:val="right" w:pos="360"/>
          <w:tab w:val="left" w:pos="540"/>
        </w:tabs>
        <w:ind w:left="-142" w:right="510"/>
        <w:jc w:val="both"/>
        <w:rPr>
          <w:rFonts w:ascii="Arial" w:hAnsi="Arial" w:cs="Arial"/>
          <w:sz w:val="24"/>
          <w:szCs w:val="24"/>
        </w:rPr>
      </w:pPr>
    </w:p>
    <w:p w14:paraId="0805DC70" w14:textId="1951E92D" w:rsidR="00F95BA2" w:rsidRPr="00594A7C" w:rsidRDefault="00F95BA2" w:rsidP="00D15CD9">
      <w:pPr>
        <w:tabs>
          <w:tab w:val="right" w:pos="360"/>
          <w:tab w:val="left" w:pos="540"/>
        </w:tabs>
        <w:ind w:left="-142" w:right="510"/>
        <w:jc w:val="both"/>
        <w:rPr>
          <w:rFonts w:ascii="Arial" w:hAnsi="Arial" w:cs="Arial"/>
          <w:sz w:val="16"/>
          <w:szCs w:val="16"/>
        </w:rPr>
      </w:pPr>
    </w:p>
    <w:p w14:paraId="03398A0E" w14:textId="47875D1F" w:rsidR="00834C7C" w:rsidRPr="006813BA" w:rsidRDefault="00834C7C" w:rsidP="005F3662">
      <w:pPr>
        <w:pBdr>
          <w:top w:val="single" w:sz="4" w:space="1" w:color="auto"/>
          <w:left w:val="single" w:sz="4" w:space="4" w:color="auto"/>
          <w:bottom w:val="single" w:sz="4" w:space="1" w:color="auto"/>
          <w:right w:val="single" w:sz="4" w:space="4" w:color="auto"/>
        </w:pBdr>
        <w:shd w:val="clear" w:color="auto" w:fill="FFFFCC"/>
        <w:tabs>
          <w:tab w:val="left" w:pos="315"/>
          <w:tab w:val="right" w:pos="360"/>
          <w:tab w:val="left" w:pos="540"/>
          <w:tab w:val="center" w:pos="4748"/>
        </w:tabs>
        <w:ind w:left="-142" w:right="510"/>
        <w:rPr>
          <w:rFonts w:ascii="Arial" w:hAnsi="Arial" w:cs="Arial"/>
          <w:b/>
          <w:sz w:val="24"/>
          <w:szCs w:val="24"/>
        </w:rPr>
      </w:pPr>
      <w:r w:rsidRPr="00387F17">
        <w:rPr>
          <w:rFonts w:ascii="Arial" w:hAnsi="Arial" w:cs="Arial"/>
          <w:b/>
          <w:color w:val="FF0000"/>
          <w:sz w:val="24"/>
          <w:szCs w:val="24"/>
        </w:rPr>
        <w:tab/>
      </w:r>
      <w:r w:rsidRPr="00387F17">
        <w:rPr>
          <w:rFonts w:ascii="Arial" w:hAnsi="Arial" w:cs="Arial"/>
          <w:b/>
          <w:color w:val="FF0000"/>
          <w:sz w:val="24"/>
          <w:szCs w:val="24"/>
        </w:rPr>
        <w:tab/>
      </w:r>
      <w:r w:rsidRPr="00387F17">
        <w:rPr>
          <w:rFonts w:ascii="Arial" w:hAnsi="Arial" w:cs="Arial"/>
          <w:b/>
          <w:color w:val="FF0000"/>
          <w:sz w:val="24"/>
          <w:szCs w:val="24"/>
        </w:rPr>
        <w:tab/>
      </w:r>
      <w:r w:rsidRPr="006813BA">
        <w:rPr>
          <w:rFonts w:ascii="Arial" w:hAnsi="Arial" w:cs="Arial"/>
          <w:b/>
          <w:sz w:val="24"/>
          <w:szCs w:val="24"/>
        </w:rPr>
        <w:tab/>
      </w:r>
      <w:r w:rsidR="00892B6C" w:rsidRPr="006813BA">
        <w:rPr>
          <w:rFonts w:ascii="Arial" w:hAnsi="Arial" w:cs="Arial"/>
          <w:b/>
          <w:sz w:val="24"/>
          <w:szCs w:val="24"/>
        </w:rPr>
        <w:t>Aripip</w:t>
      </w:r>
      <w:r w:rsidR="001307BC" w:rsidRPr="006813BA">
        <w:rPr>
          <w:rFonts w:ascii="Arial" w:hAnsi="Arial" w:cs="Arial"/>
          <w:b/>
          <w:sz w:val="24"/>
          <w:szCs w:val="24"/>
        </w:rPr>
        <w:t xml:space="preserve">razole </w:t>
      </w:r>
      <w:r w:rsidR="00F95BA2">
        <w:rPr>
          <w:rFonts w:ascii="Arial" w:hAnsi="Arial" w:cs="Arial"/>
          <w:b/>
          <w:sz w:val="24"/>
          <w:szCs w:val="24"/>
        </w:rPr>
        <w:t xml:space="preserve">long-acting injection </w:t>
      </w:r>
      <w:r w:rsidR="00E407F6" w:rsidRPr="006813BA">
        <w:rPr>
          <w:rFonts w:ascii="Arial" w:hAnsi="Arial" w:cs="Arial"/>
          <w:b/>
          <w:sz w:val="24"/>
          <w:szCs w:val="24"/>
        </w:rPr>
        <w:t>for the treatment of schizophrenia</w:t>
      </w:r>
    </w:p>
    <w:p w14:paraId="5171F48E" w14:textId="77777777" w:rsidR="00834C7C" w:rsidRPr="00387F17" w:rsidRDefault="00834C7C" w:rsidP="006813BA">
      <w:pPr>
        <w:pStyle w:val="Heading1"/>
        <w:numPr>
          <w:ilvl w:val="0"/>
          <w:numId w:val="24"/>
        </w:numPr>
        <w:spacing w:before="120"/>
        <w:rPr>
          <w:rFonts w:ascii="Arial" w:hAnsi="Arial" w:cs="Arial"/>
          <w:b/>
          <w:bCs/>
          <w:sz w:val="24"/>
          <w:szCs w:val="24"/>
        </w:rPr>
      </w:pPr>
      <w:r w:rsidRPr="00387F17">
        <w:rPr>
          <w:rFonts w:ascii="Arial" w:hAnsi="Arial" w:cs="Arial"/>
          <w:b/>
          <w:bCs/>
          <w:sz w:val="24"/>
          <w:szCs w:val="24"/>
        </w:rPr>
        <w:t>CIRCUMSTANCES WHEN SHARED CARE IS APPROPRIATE</w:t>
      </w:r>
    </w:p>
    <w:p w14:paraId="1BBFD1A5" w14:textId="77777777" w:rsidR="00834C7C" w:rsidRPr="008D257D" w:rsidRDefault="00834C7C" w:rsidP="006813BA">
      <w:pPr>
        <w:numPr>
          <w:ilvl w:val="0"/>
          <w:numId w:val="23"/>
        </w:numPr>
        <w:jc w:val="both"/>
        <w:rPr>
          <w:rFonts w:ascii="Arial" w:hAnsi="Arial" w:cs="Arial"/>
          <w:szCs w:val="24"/>
        </w:rPr>
      </w:pPr>
      <w:r w:rsidRPr="008D257D">
        <w:rPr>
          <w:rFonts w:ascii="Arial" w:hAnsi="Arial" w:cs="Arial"/>
          <w:szCs w:val="24"/>
        </w:rPr>
        <w:t xml:space="preserve">Prescribing responsibility will only be transferred when the consultant and the GP </w:t>
      </w:r>
      <w:proofErr w:type="gramStart"/>
      <w:r w:rsidRPr="008D257D">
        <w:rPr>
          <w:rFonts w:ascii="Arial" w:hAnsi="Arial" w:cs="Arial"/>
          <w:szCs w:val="24"/>
        </w:rPr>
        <w:t>are in agreement</w:t>
      </w:r>
      <w:proofErr w:type="gramEnd"/>
      <w:r w:rsidRPr="008D257D">
        <w:rPr>
          <w:rFonts w:ascii="Arial" w:hAnsi="Arial" w:cs="Arial"/>
          <w:szCs w:val="24"/>
        </w:rPr>
        <w:t xml:space="preserve"> that the patient’s condition is stable or predictable.</w:t>
      </w:r>
    </w:p>
    <w:p w14:paraId="28DA5A32" w14:textId="60FC8DAD" w:rsidR="00834C7C" w:rsidRPr="008D257D" w:rsidRDefault="00834C7C" w:rsidP="006813BA">
      <w:pPr>
        <w:numPr>
          <w:ilvl w:val="0"/>
          <w:numId w:val="23"/>
        </w:numPr>
        <w:jc w:val="both"/>
        <w:rPr>
          <w:rFonts w:ascii="Arial" w:hAnsi="Arial" w:cs="Arial"/>
          <w:szCs w:val="24"/>
        </w:rPr>
      </w:pPr>
      <w:r w:rsidRPr="008D257D">
        <w:rPr>
          <w:rFonts w:ascii="Arial" w:hAnsi="Arial" w:cs="Arial"/>
          <w:szCs w:val="24"/>
        </w:rPr>
        <w:t xml:space="preserve">The </w:t>
      </w:r>
      <w:r w:rsidRPr="00FB4237">
        <w:rPr>
          <w:rFonts w:ascii="Arial" w:hAnsi="Arial" w:cs="Arial"/>
          <w:szCs w:val="24"/>
        </w:rPr>
        <w:t>hospital</w:t>
      </w:r>
      <w:r w:rsidR="002D0250" w:rsidRPr="00FB4237">
        <w:rPr>
          <w:rFonts w:ascii="Arial" w:hAnsi="Arial" w:cs="Arial"/>
          <w:szCs w:val="24"/>
        </w:rPr>
        <w:t xml:space="preserve"> </w:t>
      </w:r>
      <w:r w:rsidR="00FB4237" w:rsidRPr="00FB4237">
        <w:rPr>
          <w:rFonts w:ascii="Arial" w:hAnsi="Arial" w:cs="Arial"/>
          <w:szCs w:val="24"/>
        </w:rPr>
        <w:t>will</w:t>
      </w:r>
      <w:r w:rsidRPr="00FB4237">
        <w:rPr>
          <w:rFonts w:ascii="Arial" w:hAnsi="Arial" w:cs="Arial"/>
          <w:szCs w:val="24"/>
        </w:rPr>
        <w:t xml:space="preserve"> </w:t>
      </w:r>
      <w:r w:rsidR="00387F17" w:rsidRPr="00FB4237">
        <w:rPr>
          <w:rFonts w:ascii="Arial" w:hAnsi="Arial" w:cs="Arial"/>
          <w:szCs w:val="24"/>
        </w:rPr>
        <w:t>adminis</w:t>
      </w:r>
      <w:r w:rsidR="00695918" w:rsidRPr="00FB4237">
        <w:rPr>
          <w:rFonts w:ascii="Arial" w:hAnsi="Arial" w:cs="Arial"/>
          <w:szCs w:val="24"/>
        </w:rPr>
        <w:t xml:space="preserve">ter </w:t>
      </w:r>
      <w:r w:rsidR="00FA03F3">
        <w:rPr>
          <w:rFonts w:ascii="Arial" w:hAnsi="Arial" w:cs="Arial"/>
          <w:szCs w:val="24"/>
        </w:rPr>
        <w:t>the injection</w:t>
      </w:r>
      <w:r w:rsidR="00FA03F3" w:rsidRPr="008D257D">
        <w:rPr>
          <w:rFonts w:ascii="Arial" w:hAnsi="Arial" w:cs="Arial"/>
          <w:szCs w:val="24"/>
        </w:rPr>
        <w:t xml:space="preserve"> </w:t>
      </w:r>
      <w:r w:rsidR="00695918" w:rsidRPr="008D257D">
        <w:rPr>
          <w:rFonts w:ascii="Arial" w:hAnsi="Arial" w:cs="Arial"/>
          <w:szCs w:val="24"/>
        </w:rPr>
        <w:t>each month until the GP</w:t>
      </w:r>
      <w:r w:rsidR="00387F17" w:rsidRPr="008D257D">
        <w:rPr>
          <w:rFonts w:ascii="Arial" w:hAnsi="Arial" w:cs="Arial"/>
          <w:szCs w:val="24"/>
        </w:rPr>
        <w:t xml:space="preserve"> agrees to shared care</w:t>
      </w:r>
      <w:r w:rsidR="006E231E">
        <w:rPr>
          <w:rFonts w:ascii="Arial" w:hAnsi="Arial" w:cs="Arial"/>
          <w:szCs w:val="24"/>
        </w:rPr>
        <w:t>.</w:t>
      </w:r>
    </w:p>
    <w:p w14:paraId="5BC2ECEE" w14:textId="77777777" w:rsidR="00834C7C" w:rsidRPr="00553F94" w:rsidRDefault="00834C7C" w:rsidP="0015155D">
      <w:pPr>
        <w:jc w:val="both"/>
        <w:rPr>
          <w:rFonts w:ascii="Arial" w:hAnsi="Arial" w:cs="Arial"/>
          <w:sz w:val="14"/>
          <w:szCs w:val="24"/>
        </w:rPr>
      </w:pPr>
    </w:p>
    <w:p w14:paraId="60084C36" w14:textId="77777777" w:rsidR="00834C7C" w:rsidRDefault="00834C7C" w:rsidP="006813BA">
      <w:pPr>
        <w:numPr>
          <w:ilvl w:val="0"/>
          <w:numId w:val="24"/>
        </w:numPr>
        <w:spacing w:before="60"/>
        <w:jc w:val="both"/>
        <w:rPr>
          <w:rFonts w:ascii="Arial" w:hAnsi="Arial" w:cs="Arial"/>
          <w:b/>
          <w:bCs/>
          <w:caps/>
          <w:sz w:val="24"/>
          <w:szCs w:val="24"/>
        </w:rPr>
      </w:pPr>
      <w:r w:rsidRPr="00387F17">
        <w:rPr>
          <w:rFonts w:ascii="Arial" w:hAnsi="Arial" w:cs="Arial"/>
          <w:b/>
          <w:bCs/>
          <w:caps/>
          <w:sz w:val="24"/>
          <w:szCs w:val="24"/>
        </w:rPr>
        <w:t>Areas of responsibility</w:t>
      </w:r>
    </w:p>
    <w:p w14:paraId="3960A715" w14:textId="77777777" w:rsidR="006813BA" w:rsidRPr="00553F94" w:rsidRDefault="006813BA" w:rsidP="00553F94">
      <w:pPr>
        <w:spacing w:before="60"/>
        <w:jc w:val="both"/>
        <w:rPr>
          <w:rFonts w:ascii="Arial" w:hAnsi="Arial" w:cs="Arial"/>
          <w:b/>
          <w:bCs/>
          <w:caps/>
          <w:sz w:val="2"/>
          <w:szCs w:val="24"/>
        </w:rPr>
      </w:pPr>
    </w:p>
    <w:tbl>
      <w:tblPr>
        <w:tblW w:w="11058" w:type="dxa"/>
        <w:tblInd w:w="-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58"/>
      </w:tblGrid>
      <w:tr w:rsidR="00834C7C" w:rsidRPr="00387F17" w14:paraId="506F7558" w14:textId="77777777" w:rsidTr="006E231E">
        <w:tc>
          <w:tcPr>
            <w:tcW w:w="11058" w:type="dxa"/>
            <w:tcBorders>
              <w:top w:val="single" w:sz="12" w:space="0" w:color="auto"/>
            </w:tcBorders>
            <w:shd w:val="clear" w:color="auto" w:fill="3366FF"/>
          </w:tcPr>
          <w:p w14:paraId="4BF6A6F2" w14:textId="77777777" w:rsidR="00834C7C" w:rsidRPr="00387F17" w:rsidRDefault="00834C7C" w:rsidP="004F478A">
            <w:pPr>
              <w:rPr>
                <w:rFonts w:ascii="Arial" w:hAnsi="Arial" w:cs="Arial"/>
                <w:b/>
                <w:bCs/>
                <w:color w:val="FFFFFF"/>
                <w:sz w:val="24"/>
                <w:szCs w:val="24"/>
              </w:rPr>
            </w:pPr>
            <w:r w:rsidRPr="00387F17">
              <w:rPr>
                <w:rFonts w:ascii="Arial" w:hAnsi="Arial" w:cs="Arial"/>
                <w:b/>
                <w:bCs/>
                <w:color w:val="FFFFFF"/>
                <w:sz w:val="24"/>
                <w:szCs w:val="24"/>
              </w:rPr>
              <w:t>Consultant / Specialist team responsibilities</w:t>
            </w:r>
          </w:p>
        </w:tc>
      </w:tr>
      <w:tr w:rsidR="00834C7C" w:rsidRPr="00387F17" w14:paraId="7C129E22" w14:textId="77777777" w:rsidTr="006E231E">
        <w:tc>
          <w:tcPr>
            <w:tcW w:w="11058" w:type="dxa"/>
            <w:tcBorders>
              <w:top w:val="single" w:sz="12" w:space="0" w:color="auto"/>
              <w:bottom w:val="single" w:sz="12" w:space="0" w:color="auto"/>
            </w:tcBorders>
          </w:tcPr>
          <w:p w14:paraId="5EF58C3B" w14:textId="2689676B" w:rsidR="00A16F13" w:rsidRPr="008D257D" w:rsidRDefault="00834C7C" w:rsidP="00553F94">
            <w:pPr>
              <w:pStyle w:val="ListParagraph"/>
              <w:numPr>
                <w:ilvl w:val="0"/>
                <w:numId w:val="26"/>
              </w:numPr>
              <w:tabs>
                <w:tab w:val="num" w:pos="461"/>
              </w:tabs>
              <w:ind w:left="319" w:hanging="284"/>
              <w:jc w:val="both"/>
              <w:rPr>
                <w:rFonts w:ascii="Arial" w:hAnsi="Arial" w:cs="Arial"/>
                <w:sz w:val="22"/>
              </w:rPr>
            </w:pPr>
            <w:r w:rsidRPr="008D257D">
              <w:rPr>
                <w:rFonts w:ascii="Arial" w:hAnsi="Arial" w:cs="Arial"/>
                <w:sz w:val="22"/>
              </w:rPr>
              <w:t>To initiate</w:t>
            </w:r>
            <w:r w:rsidR="00A16F13" w:rsidRPr="008D257D">
              <w:rPr>
                <w:rFonts w:ascii="Arial" w:hAnsi="Arial" w:cs="Arial"/>
                <w:sz w:val="22"/>
              </w:rPr>
              <w:t xml:space="preserve"> </w:t>
            </w:r>
            <w:r w:rsidR="00892B6C" w:rsidRPr="008D257D">
              <w:rPr>
                <w:rFonts w:ascii="Arial" w:hAnsi="Arial" w:cs="Arial"/>
                <w:sz w:val="22"/>
              </w:rPr>
              <w:t xml:space="preserve">aripiprazole </w:t>
            </w:r>
            <w:r w:rsidR="00F95BA2">
              <w:rPr>
                <w:rFonts w:ascii="Arial" w:hAnsi="Arial" w:cs="Arial"/>
                <w:sz w:val="22"/>
              </w:rPr>
              <w:t xml:space="preserve">long-acting </w:t>
            </w:r>
            <w:r w:rsidR="00892B6C" w:rsidRPr="008D257D">
              <w:rPr>
                <w:rFonts w:ascii="Arial" w:hAnsi="Arial" w:cs="Arial"/>
                <w:sz w:val="22"/>
              </w:rPr>
              <w:t>injection</w:t>
            </w:r>
            <w:r w:rsidR="00A16F13" w:rsidRPr="008D257D">
              <w:rPr>
                <w:rFonts w:ascii="Arial" w:hAnsi="Arial" w:cs="Arial"/>
                <w:sz w:val="22"/>
              </w:rPr>
              <w:t xml:space="preserve"> and </w:t>
            </w:r>
            <w:r w:rsidR="00DB13D2" w:rsidRPr="008D257D">
              <w:rPr>
                <w:rFonts w:ascii="Arial" w:hAnsi="Arial" w:cs="Arial"/>
                <w:sz w:val="22"/>
              </w:rPr>
              <w:t xml:space="preserve">assess </w:t>
            </w:r>
            <w:r w:rsidR="00A16F13" w:rsidRPr="008D257D">
              <w:rPr>
                <w:rFonts w:ascii="Arial" w:hAnsi="Arial" w:cs="Arial"/>
                <w:sz w:val="22"/>
              </w:rPr>
              <w:t xml:space="preserve">its </w:t>
            </w:r>
            <w:r w:rsidR="00DB13D2" w:rsidRPr="008D257D">
              <w:rPr>
                <w:rFonts w:ascii="Arial" w:hAnsi="Arial" w:cs="Arial"/>
                <w:sz w:val="22"/>
              </w:rPr>
              <w:t>effects (</w:t>
            </w:r>
            <w:r w:rsidR="001C3E56" w:rsidRPr="008D257D">
              <w:rPr>
                <w:rFonts w:ascii="Arial" w:hAnsi="Arial" w:cs="Arial"/>
                <w:sz w:val="22"/>
              </w:rPr>
              <w:t>clinical benefit and side effects)</w:t>
            </w:r>
          </w:p>
          <w:p w14:paraId="0D11966B" w14:textId="3EE86EC6" w:rsidR="00834C7C" w:rsidRPr="008D257D" w:rsidRDefault="00A16F13" w:rsidP="00553F94">
            <w:pPr>
              <w:pStyle w:val="ListParagraph"/>
              <w:numPr>
                <w:ilvl w:val="0"/>
                <w:numId w:val="26"/>
              </w:numPr>
              <w:tabs>
                <w:tab w:val="num" w:pos="461"/>
              </w:tabs>
              <w:ind w:left="319" w:hanging="284"/>
              <w:jc w:val="both"/>
              <w:rPr>
                <w:rFonts w:ascii="Arial" w:hAnsi="Arial" w:cs="Arial"/>
                <w:sz w:val="22"/>
              </w:rPr>
            </w:pPr>
            <w:r w:rsidRPr="008D257D">
              <w:rPr>
                <w:rFonts w:ascii="Arial" w:hAnsi="Arial" w:cs="Arial"/>
                <w:sz w:val="22"/>
              </w:rPr>
              <w:t xml:space="preserve">To </w:t>
            </w:r>
            <w:r w:rsidR="00DB13D2" w:rsidRPr="008D257D">
              <w:rPr>
                <w:rFonts w:ascii="Arial" w:hAnsi="Arial" w:cs="Arial"/>
                <w:sz w:val="22"/>
              </w:rPr>
              <w:t>supply treatment</w:t>
            </w:r>
            <w:r w:rsidR="00695918" w:rsidRPr="008D257D">
              <w:rPr>
                <w:rFonts w:ascii="Arial" w:hAnsi="Arial" w:cs="Arial"/>
                <w:sz w:val="22"/>
              </w:rPr>
              <w:t xml:space="preserve"> </w:t>
            </w:r>
            <w:r w:rsidR="001F55DA" w:rsidRPr="001F55DA">
              <w:rPr>
                <w:rFonts w:ascii="Arial" w:hAnsi="Arial" w:cs="Arial"/>
                <w:color w:val="FF0000"/>
                <w:sz w:val="22"/>
              </w:rPr>
              <w:t xml:space="preserve">and administer injections </w:t>
            </w:r>
            <w:r w:rsidR="00695918" w:rsidRPr="008D257D">
              <w:rPr>
                <w:rFonts w:ascii="Arial" w:hAnsi="Arial" w:cs="Arial"/>
                <w:sz w:val="22"/>
              </w:rPr>
              <w:t>for</w:t>
            </w:r>
            <w:r w:rsidR="00834C7C" w:rsidRPr="008D257D">
              <w:rPr>
                <w:rFonts w:ascii="Arial" w:hAnsi="Arial" w:cs="Arial"/>
                <w:sz w:val="22"/>
              </w:rPr>
              <w:t xml:space="preserve"> the first </w:t>
            </w:r>
            <w:r w:rsidR="00A45B98" w:rsidRPr="006E231E">
              <w:rPr>
                <w:rFonts w:ascii="Arial" w:hAnsi="Arial" w:cs="Arial"/>
                <w:b/>
                <w:sz w:val="22"/>
              </w:rPr>
              <w:t>12 months</w:t>
            </w:r>
            <w:r w:rsidR="001F55DA">
              <w:rPr>
                <w:rFonts w:ascii="Arial" w:hAnsi="Arial" w:cs="Arial"/>
                <w:b/>
                <w:sz w:val="22"/>
              </w:rPr>
              <w:t xml:space="preserve"> </w:t>
            </w:r>
          </w:p>
          <w:p w14:paraId="76C43852" w14:textId="4AAB0AD1" w:rsidR="00A45B98" w:rsidRPr="008D257D" w:rsidRDefault="00A45B98" w:rsidP="00553F94">
            <w:pPr>
              <w:pStyle w:val="ListParagraph"/>
              <w:numPr>
                <w:ilvl w:val="0"/>
                <w:numId w:val="26"/>
              </w:numPr>
              <w:tabs>
                <w:tab w:val="num" w:pos="461"/>
              </w:tabs>
              <w:ind w:left="319" w:hanging="284"/>
              <w:jc w:val="both"/>
              <w:rPr>
                <w:rFonts w:ascii="Arial" w:hAnsi="Arial" w:cs="Arial"/>
                <w:sz w:val="22"/>
              </w:rPr>
            </w:pPr>
            <w:r w:rsidRPr="008D257D">
              <w:rPr>
                <w:rFonts w:ascii="Arial" w:hAnsi="Arial" w:cs="Arial"/>
                <w:sz w:val="22"/>
              </w:rPr>
              <w:t xml:space="preserve">To inform patients that further </w:t>
            </w:r>
            <w:r w:rsidR="00FA03F3">
              <w:rPr>
                <w:rFonts w:ascii="Arial" w:hAnsi="Arial" w:cs="Arial"/>
                <w:sz w:val="22"/>
              </w:rPr>
              <w:t>injection</w:t>
            </w:r>
            <w:r w:rsidR="009D0FBD">
              <w:rPr>
                <w:rFonts w:ascii="Arial" w:hAnsi="Arial" w:cs="Arial"/>
                <w:sz w:val="22"/>
              </w:rPr>
              <w:t>s</w:t>
            </w:r>
            <w:r w:rsidRPr="008D257D">
              <w:rPr>
                <w:rFonts w:ascii="Arial" w:hAnsi="Arial" w:cs="Arial"/>
                <w:sz w:val="22"/>
              </w:rPr>
              <w:t xml:space="preserve"> will be administered at their GP practice. </w:t>
            </w:r>
            <w:r w:rsidR="00834C7C" w:rsidRPr="008D257D">
              <w:rPr>
                <w:rFonts w:ascii="Arial" w:hAnsi="Arial" w:cs="Arial"/>
                <w:sz w:val="22"/>
              </w:rPr>
              <w:t xml:space="preserve"> </w:t>
            </w:r>
          </w:p>
          <w:p w14:paraId="60B19D7E" w14:textId="77777777" w:rsidR="00834C7C" w:rsidRPr="008D257D" w:rsidRDefault="003274B2" w:rsidP="00553F94">
            <w:pPr>
              <w:pStyle w:val="ListParagraph"/>
              <w:numPr>
                <w:ilvl w:val="0"/>
                <w:numId w:val="26"/>
              </w:numPr>
              <w:tabs>
                <w:tab w:val="num" w:pos="461"/>
              </w:tabs>
              <w:ind w:left="319" w:hanging="284"/>
              <w:jc w:val="both"/>
              <w:rPr>
                <w:rFonts w:ascii="Arial" w:hAnsi="Arial" w:cs="Arial"/>
                <w:sz w:val="22"/>
              </w:rPr>
            </w:pPr>
            <w:r w:rsidRPr="008D257D">
              <w:rPr>
                <w:rFonts w:ascii="Arial" w:hAnsi="Arial" w:cs="Arial"/>
                <w:sz w:val="22"/>
              </w:rPr>
              <w:t xml:space="preserve">To inform the GP of </w:t>
            </w:r>
            <w:r w:rsidR="00C94DFE" w:rsidRPr="008D257D">
              <w:rPr>
                <w:rFonts w:ascii="Arial" w:hAnsi="Arial" w:cs="Arial"/>
                <w:sz w:val="22"/>
              </w:rPr>
              <w:t xml:space="preserve">the results of </w:t>
            </w:r>
            <w:r w:rsidRPr="008D257D">
              <w:rPr>
                <w:rFonts w:ascii="Arial" w:hAnsi="Arial" w:cs="Arial"/>
                <w:sz w:val="22"/>
              </w:rPr>
              <w:t>baseline</w:t>
            </w:r>
            <w:r w:rsidR="00C94DFE" w:rsidRPr="008D257D">
              <w:rPr>
                <w:rFonts w:ascii="Arial" w:hAnsi="Arial" w:cs="Arial"/>
                <w:sz w:val="22"/>
              </w:rPr>
              <w:t xml:space="preserve"> and </w:t>
            </w:r>
            <w:r w:rsidR="00333B28" w:rsidRPr="008D257D">
              <w:rPr>
                <w:rFonts w:ascii="Arial" w:hAnsi="Arial" w:cs="Arial"/>
                <w:sz w:val="22"/>
              </w:rPr>
              <w:t xml:space="preserve">routine </w:t>
            </w:r>
            <w:r w:rsidR="00C94DFE" w:rsidRPr="008D257D">
              <w:rPr>
                <w:rFonts w:ascii="Arial" w:hAnsi="Arial" w:cs="Arial"/>
                <w:sz w:val="22"/>
              </w:rPr>
              <w:t>treatment</w:t>
            </w:r>
            <w:r w:rsidRPr="008D257D">
              <w:rPr>
                <w:rFonts w:ascii="Arial" w:hAnsi="Arial" w:cs="Arial"/>
                <w:sz w:val="22"/>
              </w:rPr>
              <w:t xml:space="preserve"> tests</w:t>
            </w:r>
            <w:r w:rsidR="00333B28" w:rsidRPr="008D257D">
              <w:rPr>
                <w:rFonts w:ascii="Arial" w:hAnsi="Arial" w:cs="Arial"/>
                <w:sz w:val="22"/>
              </w:rPr>
              <w:t>,</w:t>
            </w:r>
            <w:r w:rsidRPr="008D257D">
              <w:rPr>
                <w:rFonts w:ascii="Arial" w:hAnsi="Arial" w:cs="Arial"/>
                <w:sz w:val="22"/>
              </w:rPr>
              <w:t xml:space="preserve"> </w:t>
            </w:r>
            <w:r w:rsidR="00C94DFE" w:rsidRPr="008D257D">
              <w:rPr>
                <w:rFonts w:ascii="Arial" w:hAnsi="Arial" w:cs="Arial"/>
                <w:sz w:val="22"/>
              </w:rPr>
              <w:t>including</w:t>
            </w:r>
            <w:r w:rsidRPr="008D257D">
              <w:rPr>
                <w:rFonts w:ascii="Arial" w:hAnsi="Arial" w:cs="Arial"/>
                <w:sz w:val="22"/>
              </w:rPr>
              <w:t xml:space="preserve"> plasma glucose, </w:t>
            </w:r>
            <w:r w:rsidR="00BE688C" w:rsidRPr="008D257D">
              <w:rPr>
                <w:rFonts w:ascii="Arial" w:hAnsi="Arial" w:cs="Arial"/>
                <w:sz w:val="22"/>
              </w:rPr>
              <w:t xml:space="preserve">plasma </w:t>
            </w:r>
            <w:r w:rsidRPr="008D257D">
              <w:rPr>
                <w:rFonts w:ascii="Arial" w:hAnsi="Arial" w:cs="Arial"/>
                <w:sz w:val="22"/>
              </w:rPr>
              <w:t>lipids and ECG.</w:t>
            </w:r>
          </w:p>
          <w:p w14:paraId="18F3E6C8" w14:textId="11F804BD" w:rsidR="0014022C" w:rsidRPr="008D257D" w:rsidRDefault="0014022C" w:rsidP="00553F94">
            <w:pPr>
              <w:pStyle w:val="ListParagraph"/>
              <w:numPr>
                <w:ilvl w:val="0"/>
                <w:numId w:val="26"/>
              </w:numPr>
              <w:tabs>
                <w:tab w:val="num" w:pos="461"/>
              </w:tabs>
              <w:ind w:left="319" w:hanging="284"/>
              <w:jc w:val="both"/>
              <w:rPr>
                <w:rFonts w:ascii="Arial" w:hAnsi="Arial" w:cs="Arial"/>
                <w:sz w:val="22"/>
              </w:rPr>
            </w:pPr>
            <w:r w:rsidRPr="008D257D">
              <w:rPr>
                <w:rFonts w:ascii="Arial" w:hAnsi="Arial" w:cs="Arial"/>
                <w:sz w:val="22"/>
              </w:rPr>
              <w:t xml:space="preserve">To inform the GP of how often the patient will be reviewed by </w:t>
            </w:r>
            <w:r w:rsidR="00333B28" w:rsidRPr="008D257D">
              <w:rPr>
                <w:rFonts w:ascii="Arial" w:hAnsi="Arial" w:cs="Arial"/>
                <w:sz w:val="22"/>
              </w:rPr>
              <w:t xml:space="preserve">the </w:t>
            </w:r>
            <w:r w:rsidR="00095046">
              <w:rPr>
                <w:rFonts w:ascii="Arial" w:hAnsi="Arial" w:cs="Arial"/>
                <w:sz w:val="22"/>
              </w:rPr>
              <w:t>psychiatric team</w:t>
            </w:r>
          </w:p>
          <w:p w14:paraId="5FE951BC" w14:textId="77777777" w:rsidR="00834C7C" w:rsidRPr="008D257D" w:rsidRDefault="00834C7C" w:rsidP="00553F94">
            <w:pPr>
              <w:pStyle w:val="ListParagraph"/>
              <w:numPr>
                <w:ilvl w:val="0"/>
                <w:numId w:val="26"/>
              </w:numPr>
              <w:tabs>
                <w:tab w:val="num" w:pos="461"/>
              </w:tabs>
              <w:ind w:left="319" w:hanging="284"/>
              <w:jc w:val="both"/>
              <w:rPr>
                <w:rFonts w:ascii="Arial" w:hAnsi="Arial" w:cs="Arial"/>
                <w:sz w:val="22"/>
              </w:rPr>
            </w:pPr>
            <w:r w:rsidRPr="008D257D">
              <w:rPr>
                <w:rFonts w:ascii="Arial" w:hAnsi="Arial" w:cs="Arial"/>
                <w:sz w:val="22"/>
              </w:rPr>
              <w:t>To review patient at the request of GP should any problems arise (side-effects / lack of efficacy)</w:t>
            </w:r>
            <w:r w:rsidR="00A16F13" w:rsidRPr="008D257D">
              <w:rPr>
                <w:rFonts w:ascii="Arial" w:hAnsi="Arial" w:cs="Arial"/>
                <w:sz w:val="22"/>
              </w:rPr>
              <w:t>.</w:t>
            </w:r>
          </w:p>
          <w:p w14:paraId="14F1734A" w14:textId="77777777" w:rsidR="00834C7C" w:rsidRPr="008D257D" w:rsidRDefault="00834C7C" w:rsidP="00553F94">
            <w:pPr>
              <w:pStyle w:val="ListParagraph"/>
              <w:numPr>
                <w:ilvl w:val="0"/>
                <w:numId w:val="26"/>
              </w:numPr>
              <w:tabs>
                <w:tab w:val="num" w:pos="461"/>
              </w:tabs>
              <w:ind w:left="319" w:hanging="284"/>
              <w:jc w:val="both"/>
              <w:rPr>
                <w:rFonts w:ascii="Arial" w:hAnsi="Arial" w:cs="Arial"/>
                <w:sz w:val="22"/>
              </w:rPr>
            </w:pPr>
            <w:r w:rsidRPr="008D257D">
              <w:rPr>
                <w:rFonts w:ascii="Arial" w:hAnsi="Arial" w:cs="Arial"/>
                <w:sz w:val="22"/>
              </w:rPr>
              <w:t xml:space="preserve">To </w:t>
            </w:r>
            <w:r w:rsidR="003274B2" w:rsidRPr="008D257D">
              <w:rPr>
                <w:rFonts w:ascii="Arial" w:hAnsi="Arial" w:cs="Arial"/>
                <w:sz w:val="22"/>
              </w:rPr>
              <w:t xml:space="preserve">inform </w:t>
            </w:r>
            <w:r w:rsidRPr="008D257D">
              <w:rPr>
                <w:rFonts w:ascii="Arial" w:hAnsi="Arial" w:cs="Arial"/>
                <w:sz w:val="22"/>
              </w:rPr>
              <w:t xml:space="preserve">the GP </w:t>
            </w:r>
            <w:r w:rsidR="003274B2" w:rsidRPr="008D257D">
              <w:rPr>
                <w:rFonts w:ascii="Arial" w:hAnsi="Arial" w:cs="Arial"/>
                <w:sz w:val="22"/>
              </w:rPr>
              <w:t>within 2 weeks of any changes to treatment</w:t>
            </w:r>
          </w:p>
          <w:p w14:paraId="0DE09722" w14:textId="77777777" w:rsidR="00834C7C" w:rsidRPr="006E231E" w:rsidRDefault="00834C7C" w:rsidP="00553F94">
            <w:pPr>
              <w:pStyle w:val="ListParagraph"/>
              <w:numPr>
                <w:ilvl w:val="0"/>
                <w:numId w:val="26"/>
              </w:numPr>
              <w:tabs>
                <w:tab w:val="num" w:pos="461"/>
              </w:tabs>
              <w:ind w:left="319" w:hanging="284"/>
              <w:jc w:val="both"/>
              <w:rPr>
                <w:rFonts w:ascii="Arial" w:hAnsi="Arial" w:cs="Arial"/>
                <w:sz w:val="22"/>
              </w:rPr>
            </w:pPr>
            <w:r w:rsidRPr="008D257D">
              <w:rPr>
                <w:rFonts w:ascii="Arial" w:hAnsi="Arial" w:cs="Arial"/>
                <w:sz w:val="22"/>
              </w:rPr>
              <w:t xml:space="preserve">To report any suspected adverse effects to the MHRA: </w:t>
            </w:r>
            <w:hyperlink r:id="rId12" w:history="1">
              <w:r w:rsidRPr="008D257D">
                <w:rPr>
                  <w:rStyle w:val="Hyperlink"/>
                  <w:rFonts w:ascii="Arial" w:hAnsi="Arial" w:cs="Arial"/>
                  <w:sz w:val="22"/>
                </w:rPr>
                <w:t>http://www.yellowcard.gov.uk</w:t>
              </w:r>
            </w:hyperlink>
          </w:p>
        </w:tc>
      </w:tr>
    </w:tbl>
    <w:p w14:paraId="714973B0" w14:textId="77777777" w:rsidR="00AB24AA" w:rsidRPr="00553F94" w:rsidRDefault="00AB24AA">
      <w:pPr>
        <w:rPr>
          <w:sz w:val="14"/>
          <w:szCs w:val="24"/>
        </w:rPr>
      </w:pPr>
    </w:p>
    <w:tbl>
      <w:tblPr>
        <w:tblW w:w="11058" w:type="dxa"/>
        <w:tblInd w:w="-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58"/>
      </w:tblGrid>
      <w:tr w:rsidR="00834C7C" w:rsidRPr="00387F17" w14:paraId="470D8609" w14:textId="77777777" w:rsidTr="006E231E">
        <w:tc>
          <w:tcPr>
            <w:tcW w:w="11058" w:type="dxa"/>
            <w:tcBorders>
              <w:top w:val="single" w:sz="12" w:space="0" w:color="auto"/>
            </w:tcBorders>
            <w:shd w:val="clear" w:color="auto" w:fill="3366FF"/>
          </w:tcPr>
          <w:p w14:paraId="29E81229" w14:textId="77777777" w:rsidR="00834C7C" w:rsidRPr="00387F17" w:rsidRDefault="00834C7C" w:rsidP="00F910B9">
            <w:pPr>
              <w:rPr>
                <w:rFonts w:ascii="Arial" w:hAnsi="Arial" w:cs="Arial"/>
                <w:b/>
                <w:bCs/>
                <w:color w:val="FFFFFF"/>
                <w:sz w:val="24"/>
                <w:szCs w:val="24"/>
              </w:rPr>
            </w:pPr>
            <w:r w:rsidRPr="00387F17">
              <w:rPr>
                <w:rFonts w:ascii="Arial" w:hAnsi="Arial" w:cs="Arial"/>
                <w:b/>
                <w:bCs/>
                <w:color w:val="FFFFFF"/>
                <w:sz w:val="24"/>
                <w:szCs w:val="24"/>
              </w:rPr>
              <w:t xml:space="preserve">General Practitioner responsibilities  </w:t>
            </w:r>
          </w:p>
        </w:tc>
      </w:tr>
      <w:tr w:rsidR="00834C7C" w:rsidRPr="00387F17" w14:paraId="69EF8F34" w14:textId="77777777" w:rsidTr="006E231E">
        <w:tc>
          <w:tcPr>
            <w:tcW w:w="11058" w:type="dxa"/>
            <w:tcBorders>
              <w:bottom w:val="single" w:sz="12" w:space="0" w:color="auto"/>
            </w:tcBorders>
          </w:tcPr>
          <w:p w14:paraId="0FF3AFB8" w14:textId="0D8F0458" w:rsidR="00594A7C" w:rsidRPr="00594A7C" w:rsidRDefault="00594A7C" w:rsidP="00594A7C">
            <w:pPr>
              <w:jc w:val="both"/>
              <w:rPr>
                <w:rFonts w:ascii="Arial" w:hAnsi="Arial" w:cs="Arial"/>
                <w:b/>
                <w:bCs/>
                <w:i/>
                <w:iCs/>
              </w:rPr>
            </w:pPr>
            <w:r w:rsidRPr="00E95062">
              <w:rPr>
                <w:rFonts w:ascii="Arial" w:hAnsi="Arial" w:cs="Arial"/>
                <w:b/>
                <w:bCs/>
                <w:i/>
                <w:iCs/>
              </w:rPr>
              <w:t>Before agreement to shared care:</w:t>
            </w:r>
          </w:p>
          <w:p w14:paraId="6CDBEA9F" w14:textId="0608856F" w:rsidR="006813BA" w:rsidRPr="00594A7C" w:rsidRDefault="00834C7C" w:rsidP="00594A7C">
            <w:pPr>
              <w:numPr>
                <w:ilvl w:val="0"/>
                <w:numId w:val="12"/>
              </w:numPr>
              <w:tabs>
                <w:tab w:val="clear" w:pos="360"/>
                <w:tab w:val="num" w:pos="461"/>
              </w:tabs>
              <w:ind w:left="284" w:hanging="284"/>
              <w:jc w:val="both"/>
              <w:rPr>
                <w:rFonts w:ascii="Arial" w:hAnsi="Arial" w:cs="Arial"/>
              </w:rPr>
            </w:pPr>
            <w:r w:rsidRPr="00594A7C">
              <w:rPr>
                <w:rFonts w:ascii="Arial" w:hAnsi="Arial" w:cs="Arial"/>
              </w:rPr>
              <w:t>To consider shared care proposal within 2 weeks of receipt. If agree to request to continue prescribing as detailed in shared care guideline. Confirmation to the requesting consultant is required within 2 weeks of receipt of this guideline by completing and returning the agreement on page 3</w:t>
            </w:r>
            <w:r w:rsidRPr="00594A7C">
              <w:rPr>
                <w:rFonts w:ascii="Arial" w:hAnsi="Arial" w:cs="Arial"/>
              </w:rPr>
              <w:tab/>
            </w:r>
          </w:p>
          <w:p w14:paraId="4BC4D06B" w14:textId="1CFD6B66" w:rsidR="006813BA" w:rsidRDefault="00834C7C" w:rsidP="006813BA">
            <w:pPr>
              <w:numPr>
                <w:ilvl w:val="0"/>
                <w:numId w:val="12"/>
              </w:numPr>
              <w:tabs>
                <w:tab w:val="clear" w:pos="360"/>
                <w:tab w:val="num" w:pos="461"/>
              </w:tabs>
              <w:ind w:left="284" w:hanging="284"/>
              <w:jc w:val="both"/>
              <w:rPr>
                <w:rFonts w:ascii="Arial" w:hAnsi="Arial" w:cs="Arial"/>
              </w:rPr>
            </w:pPr>
            <w:r w:rsidRPr="008D257D">
              <w:rPr>
                <w:rFonts w:ascii="Arial" w:hAnsi="Arial" w:cs="Arial"/>
              </w:rPr>
              <w:t>If do not agree to shared care discuss with requesting consultant or local primary care medicines management team within 2 weeks of receipt of shared care request</w:t>
            </w:r>
          </w:p>
          <w:p w14:paraId="410DD83C" w14:textId="27BC927C" w:rsidR="00594A7C" w:rsidRPr="00594A7C" w:rsidRDefault="00594A7C" w:rsidP="00594A7C">
            <w:pPr>
              <w:jc w:val="both"/>
              <w:rPr>
                <w:rFonts w:ascii="Arial" w:hAnsi="Arial" w:cs="Arial"/>
                <w:b/>
                <w:bCs/>
                <w:i/>
                <w:iCs/>
              </w:rPr>
            </w:pPr>
            <w:r w:rsidRPr="00E95062">
              <w:rPr>
                <w:rFonts w:ascii="Arial" w:hAnsi="Arial" w:cs="Arial"/>
                <w:b/>
                <w:bCs/>
                <w:i/>
                <w:iCs/>
              </w:rPr>
              <w:t>After agreement to shared care:</w:t>
            </w:r>
          </w:p>
          <w:p w14:paraId="587C800C" w14:textId="5C2C07AF" w:rsidR="006813BA" w:rsidRDefault="00834C7C" w:rsidP="006813BA">
            <w:pPr>
              <w:numPr>
                <w:ilvl w:val="0"/>
                <w:numId w:val="12"/>
              </w:numPr>
              <w:tabs>
                <w:tab w:val="clear" w:pos="360"/>
                <w:tab w:val="num" w:pos="461"/>
              </w:tabs>
              <w:ind w:left="284" w:hanging="284"/>
              <w:jc w:val="both"/>
              <w:rPr>
                <w:rFonts w:ascii="Arial" w:hAnsi="Arial" w:cs="Arial"/>
              </w:rPr>
            </w:pPr>
            <w:r w:rsidRPr="008D257D">
              <w:rPr>
                <w:rFonts w:ascii="Arial" w:hAnsi="Arial" w:cs="Arial"/>
              </w:rPr>
              <w:t xml:space="preserve">To provide ongoing prescriptions for </w:t>
            </w:r>
            <w:r w:rsidR="00892B6C" w:rsidRPr="008D257D">
              <w:rPr>
                <w:rFonts w:ascii="Arial" w:hAnsi="Arial" w:cs="Arial"/>
              </w:rPr>
              <w:t xml:space="preserve">aripiprazole </w:t>
            </w:r>
            <w:r w:rsidR="00FA03F3">
              <w:rPr>
                <w:rFonts w:ascii="Arial" w:hAnsi="Arial" w:cs="Arial"/>
              </w:rPr>
              <w:t>long-acting</w:t>
            </w:r>
            <w:r w:rsidR="00892B6C" w:rsidRPr="008D257D">
              <w:rPr>
                <w:rFonts w:ascii="Arial" w:hAnsi="Arial" w:cs="Arial"/>
              </w:rPr>
              <w:t xml:space="preserve"> injection</w:t>
            </w:r>
            <w:r w:rsidR="004C1407" w:rsidRPr="008D257D">
              <w:rPr>
                <w:rFonts w:ascii="Arial" w:hAnsi="Arial" w:cs="Arial"/>
              </w:rPr>
              <w:t>.</w:t>
            </w:r>
            <w:r w:rsidRPr="008D257D">
              <w:rPr>
                <w:rFonts w:ascii="Arial" w:hAnsi="Arial" w:cs="Arial"/>
              </w:rPr>
              <w:t xml:space="preserve"> To adjust the dose as advised by the specialist.</w:t>
            </w:r>
          </w:p>
          <w:p w14:paraId="202FBB56" w14:textId="38093F86" w:rsidR="001F55DA" w:rsidRPr="00E95062" w:rsidRDefault="001F55DA" w:rsidP="006813BA">
            <w:pPr>
              <w:numPr>
                <w:ilvl w:val="0"/>
                <w:numId w:val="12"/>
              </w:numPr>
              <w:tabs>
                <w:tab w:val="clear" w:pos="360"/>
                <w:tab w:val="num" w:pos="461"/>
              </w:tabs>
              <w:ind w:left="284" w:hanging="284"/>
              <w:jc w:val="both"/>
              <w:rPr>
                <w:rFonts w:ascii="Arial" w:hAnsi="Arial" w:cs="Arial"/>
              </w:rPr>
            </w:pPr>
            <w:r w:rsidRPr="00E95062">
              <w:rPr>
                <w:rFonts w:ascii="Arial" w:hAnsi="Arial" w:cs="Arial"/>
              </w:rPr>
              <w:t xml:space="preserve">To administer injections </w:t>
            </w:r>
          </w:p>
          <w:p w14:paraId="3B492AC5" w14:textId="77777777" w:rsidR="006813BA" w:rsidRPr="008D257D" w:rsidRDefault="00834C7C" w:rsidP="006813BA">
            <w:pPr>
              <w:numPr>
                <w:ilvl w:val="0"/>
                <w:numId w:val="12"/>
              </w:numPr>
              <w:tabs>
                <w:tab w:val="clear" w:pos="360"/>
                <w:tab w:val="num" w:pos="461"/>
              </w:tabs>
              <w:ind w:left="284" w:hanging="284"/>
              <w:jc w:val="both"/>
              <w:rPr>
                <w:rFonts w:ascii="Arial" w:hAnsi="Arial" w:cs="Arial"/>
              </w:rPr>
            </w:pPr>
            <w:r w:rsidRPr="008D257D">
              <w:rPr>
                <w:rFonts w:ascii="Arial" w:hAnsi="Arial" w:cs="Arial"/>
              </w:rPr>
              <w:t xml:space="preserve">To agree monitoring requirements with specialist </w:t>
            </w:r>
          </w:p>
          <w:p w14:paraId="00FA9C51" w14:textId="77777777" w:rsidR="006813BA" w:rsidRPr="008D257D" w:rsidRDefault="00834C7C" w:rsidP="006813BA">
            <w:pPr>
              <w:numPr>
                <w:ilvl w:val="0"/>
                <w:numId w:val="12"/>
              </w:numPr>
              <w:tabs>
                <w:tab w:val="clear" w:pos="360"/>
                <w:tab w:val="num" w:pos="461"/>
              </w:tabs>
              <w:ind w:left="284" w:hanging="284"/>
              <w:jc w:val="both"/>
              <w:rPr>
                <w:rFonts w:ascii="Arial" w:hAnsi="Arial" w:cs="Arial"/>
              </w:rPr>
            </w:pPr>
            <w:r w:rsidRPr="008D257D">
              <w:rPr>
                <w:rFonts w:ascii="Arial" w:hAnsi="Arial" w:cs="Arial"/>
              </w:rPr>
              <w:t>To report and seek advice regarding any concerns, for example: side-effects, co-morbidities, pregnancy, or lack of efficacy to the specialist team</w:t>
            </w:r>
          </w:p>
          <w:p w14:paraId="294B6D40" w14:textId="12E543D6" w:rsidR="006813BA" w:rsidRPr="00095046" w:rsidRDefault="00FD043E" w:rsidP="006813BA">
            <w:pPr>
              <w:numPr>
                <w:ilvl w:val="0"/>
                <w:numId w:val="12"/>
              </w:numPr>
              <w:tabs>
                <w:tab w:val="clear" w:pos="360"/>
                <w:tab w:val="num" w:pos="461"/>
              </w:tabs>
              <w:ind w:left="284" w:hanging="284"/>
              <w:jc w:val="both"/>
              <w:rPr>
                <w:rFonts w:ascii="Arial" w:hAnsi="Arial" w:cs="Arial"/>
              </w:rPr>
            </w:pPr>
            <w:r w:rsidRPr="008D257D">
              <w:rPr>
                <w:rFonts w:ascii="Arial" w:hAnsi="Arial" w:cs="Arial"/>
              </w:rPr>
              <w:t xml:space="preserve">To advise the </w:t>
            </w:r>
            <w:r w:rsidR="00095046" w:rsidRPr="003B6C11">
              <w:rPr>
                <w:rFonts w:ascii="Arial" w:hAnsi="Arial" w:cs="Arial"/>
              </w:rPr>
              <w:t xml:space="preserve">specialist </w:t>
            </w:r>
            <w:r w:rsidR="00095046">
              <w:rPr>
                <w:rFonts w:ascii="Arial" w:hAnsi="Arial" w:cs="Arial"/>
              </w:rPr>
              <w:t>psychiatric</w:t>
            </w:r>
            <w:r w:rsidR="00095046" w:rsidRPr="003B6C11">
              <w:rPr>
                <w:rFonts w:ascii="Arial" w:hAnsi="Arial" w:cs="Arial"/>
              </w:rPr>
              <w:t xml:space="preserve"> team</w:t>
            </w:r>
            <w:r w:rsidRPr="003B6C11">
              <w:rPr>
                <w:rFonts w:ascii="Arial" w:hAnsi="Arial" w:cs="Arial"/>
              </w:rPr>
              <w:t xml:space="preserve"> if the </w:t>
            </w:r>
            <w:r w:rsidR="007F132F" w:rsidRPr="003B6C11">
              <w:rPr>
                <w:rFonts w:ascii="Arial" w:hAnsi="Arial" w:cs="Arial"/>
              </w:rPr>
              <w:t>patient does not attend appointment for the injection.</w:t>
            </w:r>
          </w:p>
          <w:p w14:paraId="4DAAEEF7" w14:textId="1E695D24" w:rsidR="006D76EC" w:rsidRPr="000D006F" w:rsidRDefault="006D76EC" w:rsidP="006813BA">
            <w:pPr>
              <w:pStyle w:val="ListParagraph"/>
              <w:numPr>
                <w:ilvl w:val="0"/>
                <w:numId w:val="12"/>
              </w:numPr>
              <w:tabs>
                <w:tab w:val="clear" w:pos="360"/>
                <w:tab w:val="num" w:pos="461"/>
              </w:tabs>
              <w:ind w:left="284" w:hanging="284"/>
              <w:jc w:val="both"/>
              <w:rPr>
                <w:rFonts w:ascii="Arial" w:hAnsi="Arial" w:cs="Arial"/>
                <w:sz w:val="22"/>
                <w:szCs w:val="22"/>
              </w:rPr>
            </w:pPr>
            <w:r w:rsidRPr="00095046">
              <w:rPr>
                <w:rFonts w:ascii="Arial" w:hAnsi="Arial" w:cs="Arial"/>
                <w:sz w:val="22"/>
                <w:szCs w:val="22"/>
                <w:lang w:val="en-AU"/>
              </w:rPr>
              <w:t xml:space="preserve">To advise the </w:t>
            </w:r>
            <w:r w:rsidR="00095046" w:rsidRPr="000D006F">
              <w:rPr>
                <w:rFonts w:ascii="Arial" w:hAnsi="Arial" w:cs="Arial"/>
                <w:sz w:val="22"/>
                <w:szCs w:val="22"/>
              </w:rPr>
              <w:t xml:space="preserve">specialist </w:t>
            </w:r>
            <w:r w:rsidR="00095046">
              <w:rPr>
                <w:rFonts w:ascii="Arial" w:hAnsi="Arial" w:cs="Arial"/>
                <w:sz w:val="22"/>
                <w:szCs w:val="22"/>
              </w:rPr>
              <w:t>psychiatric</w:t>
            </w:r>
            <w:r w:rsidR="00095046" w:rsidRPr="000D006F">
              <w:rPr>
                <w:rFonts w:ascii="Arial" w:hAnsi="Arial" w:cs="Arial"/>
                <w:sz w:val="22"/>
                <w:szCs w:val="22"/>
              </w:rPr>
              <w:t xml:space="preserve"> team </w:t>
            </w:r>
            <w:r w:rsidRPr="003B6C11">
              <w:rPr>
                <w:rFonts w:ascii="Arial" w:hAnsi="Arial" w:cs="Arial"/>
                <w:sz w:val="22"/>
                <w:szCs w:val="22"/>
                <w:lang w:val="en-AU"/>
              </w:rPr>
              <w:t>if the patient refuses injection.</w:t>
            </w:r>
          </w:p>
          <w:p w14:paraId="319E6059" w14:textId="32A41CD7" w:rsidR="007F132F" w:rsidRPr="00095046" w:rsidRDefault="007F132F" w:rsidP="006813BA">
            <w:pPr>
              <w:numPr>
                <w:ilvl w:val="0"/>
                <w:numId w:val="12"/>
              </w:numPr>
              <w:tabs>
                <w:tab w:val="clear" w:pos="360"/>
                <w:tab w:val="num" w:pos="461"/>
              </w:tabs>
              <w:ind w:left="284" w:hanging="284"/>
              <w:jc w:val="both"/>
              <w:rPr>
                <w:rFonts w:ascii="Arial" w:hAnsi="Arial" w:cs="Arial"/>
              </w:rPr>
            </w:pPr>
            <w:r w:rsidRPr="003B6C11">
              <w:rPr>
                <w:rFonts w:ascii="Arial" w:hAnsi="Arial" w:cs="Arial"/>
              </w:rPr>
              <w:t xml:space="preserve">Agree between the </w:t>
            </w:r>
            <w:r w:rsidR="00095046" w:rsidRPr="003B6C11">
              <w:rPr>
                <w:rFonts w:ascii="Arial" w:hAnsi="Arial" w:cs="Arial"/>
              </w:rPr>
              <w:t xml:space="preserve">specialist </w:t>
            </w:r>
            <w:r w:rsidR="00095046">
              <w:rPr>
                <w:rFonts w:ascii="Arial" w:hAnsi="Arial" w:cs="Arial"/>
              </w:rPr>
              <w:t>psychiatric</w:t>
            </w:r>
            <w:r w:rsidR="00095046" w:rsidRPr="003B6C11">
              <w:rPr>
                <w:rFonts w:ascii="Arial" w:hAnsi="Arial" w:cs="Arial"/>
              </w:rPr>
              <w:t xml:space="preserve"> team </w:t>
            </w:r>
            <w:r w:rsidRPr="003B6C11">
              <w:rPr>
                <w:rFonts w:ascii="Arial" w:hAnsi="Arial" w:cs="Arial"/>
              </w:rPr>
              <w:t xml:space="preserve">and GP who will contact the patient if he/she misses their appointment. </w:t>
            </w:r>
          </w:p>
          <w:p w14:paraId="23E2F3A0" w14:textId="77777777" w:rsidR="006813BA" w:rsidRPr="008D257D" w:rsidRDefault="00834C7C" w:rsidP="006813BA">
            <w:pPr>
              <w:numPr>
                <w:ilvl w:val="0"/>
                <w:numId w:val="12"/>
              </w:numPr>
              <w:tabs>
                <w:tab w:val="clear" w:pos="360"/>
                <w:tab w:val="num" w:pos="461"/>
              </w:tabs>
              <w:ind w:left="284" w:hanging="284"/>
              <w:jc w:val="both"/>
              <w:rPr>
                <w:rFonts w:ascii="Arial" w:hAnsi="Arial" w:cs="Arial"/>
              </w:rPr>
            </w:pPr>
            <w:r w:rsidRPr="008D257D">
              <w:rPr>
                <w:rFonts w:ascii="Arial" w:hAnsi="Arial" w:cs="Arial"/>
              </w:rPr>
              <w:t xml:space="preserve">To </w:t>
            </w:r>
            <w:proofErr w:type="gramStart"/>
            <w:r w:rsidRPr="008D257D">
              <w:rPr>
                <w:rFonts w:ascii="Arial" w:hAnsi="Arial" w:cs="Arial"/>
              </w:rPr>
              <w:t>refer back</w:t>
            </w:r>
            <w:proofErr w:type="gramEnd"/>
            <w:r w:rsidRPr="008D257D">
              <w:rPr>
                <w:rFonts w:ascii="Arial" w:hAnsi="Arial" w:cs="Arial"/>
              </w:rPr>
              <w:t xml:space="preserve"> to specialist if the patient's condition deteriorates.</w:t>
            </w:r>
          </w:p>
          <w:p w14:paraId="54A90AEE" w14:textId="77777777" w:rsidR="00834C7C" w:rsidRPr="008D257D" w:rsidRDefault="00834C7C" w:rsidP="006813BA">
            <w:pPr>
              <w:numPr>
                <w:ilvl w:val="0"/>
                <w:numId w:val="12"/>
              </w:numPr>
              <w:tabs>
                <w:tab w:val="clear" w:pos="360"/>
                <w:tab w:val="num" w:pos="461"/>
              </w:tabs>
              <w:ind w:left="284" w:hanging="284"/>
              <w:jc w:val="both"/>
              <w:rPr>
                <w:rFonts w:ascii="Arial" w:hAnsi="Arial" w:cs="Arial"/>
              </w:rPr>
            </w:pPr>
            <w:r w:rsidRPr="008D257D">
              <w:rPr>
                <w:rFonts w:ascii="Arial" w:hAnsi="Arial" w:cs="Arial"/>
              </w:rPr>
              <w:t>To stop treatment on the advice of the specialist or immediately if an urgent need to stop treatment arises.</w:t>
            </w:r>
          </w:p>
          <w:p w14:paraId="74152313" w14:textId="163A13D7" w:rsidR="00650A8E" w:rsidRPr="006E231E" w:rsidRDefault="00834C7C" w:rsidP="006E231E">
            <w:pPr>
              <w:numPr>
                <w:ilvl w:val="0"/>
                <w:numId w:val="12"/>
              </w:numPr>
              <w:tabs>
                <w:tab w:val="clear" w:pos="360"/>
                <w:tab w:val="num" w:pos="461"/>
              </w:tabs>
              <w:ind w:left="284" w:hanging="284"/>
              <w:rPr>
                <w:rFonts w:ascii="Arial" w:hAnsi="Arial" w:cs="Arial"/>
                <w:sz w:val="24"/>
                <w:szCs w:val="24"/>
              </w:rPr>
            </w:pPr>
            <w:r w:rsidRPr="008D257D">
              <w:rPr>
                <w:rFonts w:ascii="Arial" w:hAnsi="Arial" w:cs="Arial"/>
              </w:rPr>
              <w:t>To report any suspected adverse effects to the MHRA via the Yellow Card scheme:</w:t>
            </w:r>
            <w:r w:rsidR="00594A7C">
              <w:rPr>
                <w:rFonts w:ascii="Arial" w:hAnsi="Arial" w:cs="Arial"/>
              </w:rPr>
              <w:t xml:space="preserve"> </w:t>
            </w:r>
            <w:hyperlink r:id="rId13" w:history="1">
              <w:r w:rsidR="00594A7C" w:rsidRPr="00F52849">
                <w:rPr>
                  <w:rStyle w:val="Hyperlink"/>
                  <w:rFonts w:ascii="Arial" w:hAnsi="Arial" w:cs="Arial"/>
                </w:rPr>
                <w:t>http://www.yellowcard.gov.uk</w:t>
              </w:r>
            </w:hyperlink>
          </w:p>
        </w:tc>
      </w:tr>
    </w:tbl>
    <w:p w14:paraId="2655AF1C" w14:textId="77777777" w:rsidR="00650A8E" w:rsidRPr="00553F94" w:rsidRDefault="00650A8E">
      <w:pPr>
        <w:rPr>
          <w:sz w:val="6"/>
        </w:rPr>
      </w:pPr>
    </w:p>
    <w:p w14:paraId="402B8A42" w14:textId="77777777" w:rsidR="008D257D" w:rsidRPr="00C95253" w:rsidRDefault="008D257D">
      <w:pPr>
        <w:rPr>
          <w:sz w:val="8"/>
        </w:rPr>
      </w:pPr>
    </w:p>
    <w:tbl>
      <w:tblPr>
        <w:tblW w:w="11058" w:type="dxa"/>
        <w:tblInd w:w="-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58"/>
      </w:tblGrid>
      <w:tr w:rsidR="00834C7C" w:rsidRPr="00387F17" w14:paraId="4C860984" w14:textId="77777777" w:rsidTr="006E231E">
        <w:tc>
          <w:tcPr>
            <w:tcW w:w="11058" w:type="dxa"/>
            <w:tcBorders>
              <w:top w:val="single" w:sz="12" w:space="0" w:color="auto"/>
              <w:bottom w:val="single" w:sz="4" w:space="0" w:color="auto"/>
            </w:tcBorders>
            <w:shd w:val="clear" w:color="auto" w:fill="3366FF"/>
          </w:tcPr>
          <w:p w14:paraId="6163CB95" w14:textId="77777777" w:rsidR="00834C7C" w:rsidRPr="00387F17" w:rsidRDefault="00834C7C" w:rsidP="00E3769B">
            <w:pPr>
              <w:rPr>
                <w:rFonts w:ascii="Arial" w:hAnsi="Arial" w:cs="Arial"/>
                <w:b/>
                <w:bCs/>
                <w:color w:val="FFFFFF"/>
                <w:sz w:val="24"/>
                <w:szCs w:val="24"/>
              </w:rPr>
            </w:pPr>
            <w:r w:rsidRPr="00387F17">
              <w:rPr>
                <w:rFonts w:ascii="Arial" w:hAnsi="Arial" w:cs="Arial"/>
                <w:b/>
                <w:bCs/>
                <w:color w:val="FFFFFF"/>
                <w:sz w:val="24"/>
                <w:szCs w:val="24"/>
              </w:rPr>
              <w:t>Patient's / Carer’s responsibilities</w:t>
            </w:r>
          </w:p>
        </w:tc>
      </w:tr>
      <w:tr w:rsidR="00834C7C" w:rsidRPr="00387F17" w14:paraId="6ACE4112" w14:textId="77777777" w:rsidTr="006E231E">
        <w:tblPrEx>
          <w:tblBorders>
            <w:insideH w:val="none" w:sz="0" w:space="0" w:color="auto"/>
            <w:insideV w:val="none" w:sz="0" w:space="0" w:color="auto"/>
          </w:tblBorders>
        </w:tblPrEx>
        <w:tc>
          <w:tcPr>
            <w:tcW w:w="11058" w:type="dxa"/>
            <w:tcBorders>
              <w:top w:val="single" w:sz="4" w:space="0" w:color="auto"/>
              <w:left w:val="single" w:sz="4" w:space="0" w:color="auto"/>
              <w:bottom w:val="single" w:sz="4" w:space="0" w:color="auto"/>
              <w:right w:val="single" w:sz="4" w:space="0" w:color="auto"/>
            </w:tcBorders>
          </w:tcPr>
          <w:p w14:paraId="4D27E67E" w14:textId="294D3A5A" w:rsidR="00834C7C" w:rsidRPr="008D257D" w:rsidRDefault="00834C7C" w:rsidP="00677A07">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4"/>
              </w:rPr>
            </w:pPr>
            <w:r w:rsidRPr="008D257D">
              <w:rPr>
                <w:rFonts w:ascii="Arial" w:hAnsi="Arial" w:cs="Arial"/>
                <w:szCs w:val="24"/>
              </w:rPr>
              <w:t>To contact the specialist or GP if he or she does not have a clear understanding of any aspect of the treatment.</w:t>
            </w:r>
          </w:p>
          <w:p w14:paraId="0EC24BF0" w14:textId="77777777" w:rsidR="00834C7C" w:rsidRPr="008D257D" w:rsidRDefault="00834C7C" w:rsidP="002D16F6">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rPr>
            </w:pPr>
            <w:r w:rsidRPr="008D257D">
              <w:rPr>
                <w:rFonts w:ascii="Arial" w:hAnsi="Arial" w:cs="Arial"/>
              </w:rPr>
              <w:t xml:space="preserve">To inform prescribing specialist, GP and other healthcare professionals of any other medication being taken, including over the counter products, alternative </w:t>
            </w:r>
            <w:proofErr w:type="gramStart"/>
            <w:r w:rsidRPr="008D257D">
              <w:rPr>
                <w:rFonts w:ascii="Arial" w:hAnsi="Arial" w:cs="Arial"/>
              </w:rPr>
              <w:t>therapies</w:t>
            </w:r>
            <w:proofErr w:type="gramEnd"/>
            <w:r w:rsidRPr="008D257D">
              <w:rPr>
                <w:rFonts w:ascii="Arial" w:hAnsi="Arial" w:cs="Arial"/>
              </w:rPr>
              <w:t xml:space="preserve"> or recreational drugs.</w:t>
            </w:r>
          </w:p>
          <w:p w14:paraId="4EE7F9B3" w14:textId="6A8EEF4C" w:rsidR="00834C7C" w:rsidRPr="008D257D" w:rsidRDefault="00834C7C" w:rsidP="003274B2">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4"/>
              </w:rPr>
            </w:pPr>
            <w:r w:rsidRPr="008D257D">
              <w:rPr>
                <w:rFonts w:ascii="Arial" w:hAnsi="Arial" w:cs="Arial"/>
                <w:szCs w:val="24"/>
              </w:rPr>
              <w:t xml:space="preserve">To inform community pharmacists that they are </w:t>
            </w:r>
            <w:r w:rsidR="00421B44" w:rsidRPr="008D257D">
              <w:rPr>
                <w:rFonts w:ascii="Arial" w:hAnsi="Arial" w:cs="Arial"/>
                <w:szCs w:val="24"/>
              </w:rPr>
              <w:t>prescribed</w:t>
            </w:r>
            <w:r w:rsidRPr="008D257D">
              <w:rPr>
                <w:rFonts w:ascii="Arial" w:hAnsi="Arial" w:cs="Arial"/>
                <w:szCs w:val="24"/>
              </w:rPr>
              <w:t xml:space="preserve"> </w:t>
            </w:r>
            <w:r w:rsidR="00892B6C" w:rsidRPr="008D257D">
              <w:rPr>
                <w:rFonts w:ascii="Arial" w:hAnsi="Arial" w:cs="Arial"/>
                <w:szCs w:val="24"/>
              </w:rPr>
              <w:t xml:space="preserve">aripiprazole </w:t>
            </w:r>
            <w:r w:rsidR="00FA03F3">
              <w:rPr>
                <w:rFonts w:ascii="Arial" w:hAnsi="Arial" w:cs="Arial"/>
                <w:szCs w:val="24"/>
              </w:rPr>
              <w:t>long-acting</w:t>
            </w:r>
            <w:r w:rsidR="00892B6C" w:rsidRPr="008D257D">
              <w:rPr>
                <w:rFonts w:ascii="Arial" w:hAnsi="Arial" w:cs="Arial"/>
                <w:szCs w:val="24"/>
              </w:rPr>
              <w:t xml:space="preserve"> injection</w:t>
            </w:r>
            <w:r w:rsidRPr="008D257D">
              <w:rPr>
                <w:rFonts w:ascii="Arial" w:hAnsi="Arial" w:cs="Arial"/>
                <w:szCs w:val="24"/>
              </w:rPr>
              <w:t xml:space="preserve"> before purchasing medication </w:t>
            </w:r>
            <w:proofErr w:type="gramStart"/>
            <w:r w:rsidRPr="008D257D">
              <w:rPr>
                <w:rFonts w:ascii="Arial" w:hAnsi="Arial" w:cs="Arial"/>
                <w:szCs w:val="24"/>
              </w:rPr>
              <w:t>over-the-counter</w:t>
            </w:r>
            <w:proofErr w:type="gramEnd"/>
          </w:p>
          <w:p w14:paraId="346314C1" w14:textId="77777777" w:rsidR="00834C7C" w:rsidRPr="008D257D" w:rsidRDefault="00834C7C" w:rsidP="00CA29C4">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4"/>
              </w:rPr>
            </w:pPr>
            <w:r w:rsidRPr="008D257D">
              <w:rPr>
                <w:rFonts w:ascii="Arial" w:hAnsi="Arial" w:cs="Arial"/>
                <w:szCs w:val="24"/>
              </w:rPr>
              <w:t xml:space="preserve">To attend all hospital and GP appointments </w:t>
            </w:r>
          </w:p>
          <w:p w14:paraId="582009F3" w14:textId="77777777" w:rsidR="00834C7C" w:rsidRPr="008D257D" w:rsidRDefault="00834C7C" w:rsidP="006A1336">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4"/>
              </w:rPr>
            </w:pPr>
            <w:r w:rsidRPr="008D257D">
              <w:rPr>
                <w:rFonts w:ascii="Arial" w:hAnsi="Arial" w:cs="Arial"/>
                <w:szCs w:val="24"/>
              </w:rPr>
              <w:t>To take medicines as agreed and take steps to ensure that no doses are missed and not to share medicines with others</w:t>
            </w:r>
          </w:p>
          <w:p w14:paraId="602AA750" w14:textId="5D9BB13B" w:rsidR="00834C7C" w:rsidRDefault="00834C7C" w:rsidP="006A1336">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4"/>
              </w:rPr>
            </w:pPr>
            <w:r w:rsidRPr="008D257D">
              <w:rPr>
                <w:rFonts w:ascii="Arial" w:hAnsi="Arial" w:cs="Arial"/>
                <w:szCs w:val="24"/>
              </w:rPr>
              <w:t>To read the patient information leaflet included with the medication.</w:t>
            </w:r>
          </w:p>
          <w:p w14:paraId="79B2A80B" w14:textId="77777777" w:rsidR="001F55DA" w:rsidRPr="00D419DA" w:rsidRDefault="001F55DA" w:rsidP="001F55DA">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0"/>
              </w:rPr>
            </w:pPr>
            <w:r w:rsidRPr="00D419DA">
              <w:rPr>
                <w:rFonts w:ascii="Arial" w:hAnsi="Arial" w:cs="Arial"/>
                <w:szCs w:val="20"/>
              </w:rPr>
              <w:t>To inform GP or hospital specialist of any concerns about treatment.</w:t>
            </w:r>
          </w:p>
          <w:p w14:paraId="5F618173" w14:textId="77777777" w:rsidR="00834C7C" w:rsidRPr="008D257D" w:rsidRDefault="00834C7C" w:rsidP="006A1336">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4"/>
              </w:rPr>
            </w:pPr>
            <w:r w:rsidRPr="008D257D">
              <w:rPr>
                <w:rFonts w:ascii="Arial" w:hAnsi="Arial" w:cs="Arial"/>
                <w:szCs w:val="24"/>
              </w:rPr>
              <w:t>To report any adverse effects or warning symptoms to GP or hospital specialist</w:t>
            </w:r>
          </w:p>
          <w:p w14:paraId="3AB00D5E" w14:textId="77777777" w:rsidR="00774EAE" w:rsidRPr="008D257D" w:rsidRDefault="00774EAE" w:rsidP="006A1336">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4"/>
              </w:rPr>
            </w:pPr>
            <w:r w:rsidRPr="008D257D">
              <w:rPr>
                <w:rFonts w:ascii="Arial" w:hAnsi="Arial" w:cs="Arial"/>
                <w:szCs w:val="24"/>
              </w:rPr>
              <w:lastRenderedPageBreak/>
              <w:t xml:space="preserve">Inform GP and specialist if intending to become pregnant. </w:t>
            </w:r>
          </w:p>
          <w:p w14:paraId="0EFD9AE7" w14:textId="77777777" w:rsidR="00834C7C" w:rsidRPr="008D257D" w:rsidRDefault="00834C7C" w:rsidP="006A1336">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Cs w:val="24"/>
              </w:rPr>
            </w:pPr>
            <w:r w:rsidRPr="008D257D">
              <w:rPr>
                <w:rFonts w:ascii="Arial" w:hAnsi="Arial" w:cs="Arial"/>
                <w:szCs w:val="24"/>
              </w:rPr>
              <w:t>To report to GP if pregnant or breastfeeding.</w:t>
            </w:r>
          </w:p>
          <w:p w14:paraId="322C5BE5" w14:textId="0E71F096" w:rsidR="00834C7C" w:rsidRPr="00387F17" w:rsidRDefault="001F55DA" w:rsidP="001F55DA">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Pr>
                <w:rFonts w:ascii="Arial" w:hAnsi="Arial" w:cs="Arial"/>
                <w:szCs w:val="24"/>
              </w:rPr>
              <w:t xml:space="preserve">To inform GP and </w:t>
            </w:r>
            <w:r w:rsidR="00095046" w:rsidRPr="00474929">
              <w:rPr>
                <w:rFonts w:ascii="Arial" w:hAnsi="Arial" w:cs="Arial"/>
              </w:rPr>
              <w:t xml:space="preserve">specialist </w:t>
            </w:r>
            <w:r w:rsidR="00095046">
              <w:rPr>
                <w:rFonts w:ascii="Arial" w:hAnsi="Arial" w:cs="Arial"/>
              </w:rPr>
              <w:t>psychiatric</w:t>
            </w:r>
            <w:r w:rsidR="00095046" w:rsidRPr="00474929">
              <w:rPr>
                <w:rFonts w:ascii="Arial" w:hAnsi="Arial" w:cs="Arial"/>
              </w:rPr>
              <w:t xml:space="preserve"> team </w:t>
            </w:r>
            <w:r w:rsidR="00834C7C" w:rsidRPr="008D257D">
              <w:rPr>
                <w:rFonts w:ascii="Arial" w:hAnsi="Arial" w:cs="Arial"/>
                <w:szCs w:val="24"/>
              </w:rPr>
              <w:t>of any changes in addresses or telephone contact numbers.</w:t>
            </w:r>
          </w:p>
        </w:tc>
      </w:tr>
    </w:tbl>
    <w:p w14:paraId="05A34A6D" w14:textId="77777777" w:rsidR="00834C7C" w:rsidRPr="008D257D" w:rsidRDefault="00834C7C" w:rsidP="00D363D0">
      <w:pPr>
        <w:rPr>
          <w:rFonts w:ascii="Arial" w:hAnsi="Arial" w:cs="Arial"/>
          <w:b/>
          <w:bCs/>
          <w:sz w:val="20"/>
          <w:szCs w:val="24"/>
        </w:rPr>
      </w:pPr>
    </w:p>
    <w:p w14:paraId="646AE6E0" w14:textId="77777777" w:rsidR="00834C7C" w:rsidRPr="00387F17" w:rsidRDefault="00834C7C" w:rsidP="007D6706">
      <w:pPr>
        <w:numPr>
          <w:ilvl w:val="0"/>
          <w:numId w:val="14"/>
        </w:numPr>
        <w:tabs>
          <w:tab w:val="clear" w:pos="360"/>
          <w:tab w:val="num" w:pos="851"/>
        </w:tabs>
        <w:rPr>
          <w:rFonts w:ascii="Arial" w:hAnsi="Arial" w:cs="Arial"/>
          <w:b/>
          <w:bCs/>
          <w:sz w:val="24"/>
          <w:szCs w:val="24"/>
        </w:rPr>
      </w:pPr>
      <w:r w:rsidRPr="00387F17">
        <w:rPr>
          <w:rFonts w:ascii="Arial" w:hAnsi="Arial" w:cs="Arial"/>
          <w:b/>
          <w:bCs/>
          <w:sz w:val="24"/>
          <w:szCs w:val="24"/>
        </w:rPr>
        <w:t>CLINICAL INFORMATION</w:t>
      </w:r>
    </w:p>
    <w:p w14:paraId="742810D0" w14:textId="77777777" w:rsidR="006813BA" w:rsidRPr="0011162F" w:rsidRDefault="006813BA" w:rsidP="004B4825">
      <w:pPr>
        <w:ind w:left="-284"/>
        <w:jc w:val="both"/>
        <w:rPr>
          <w:rFonts w:ascii="Arial" w:hAnsi="Arial" w:cs="Arial"/>
          <w:b/>
          <w:bCs/>
          <w:sz w:val="16"/>
          <w:szCs w:val="24"/>
        </w:rPr>
      </w:pPr>
    </w:p>
    <w:p w14:paraId="4019FBEA" w14:textId="1737F665" w:rsidR="00834C7C" w:rsidRPr="00387F17" w:rsidRDefault="00834C7C" w:rsidP="000D2211">
      <w:pPr>
        <w:jc w:val="both"/>
        <w:rPr>
          <w:rFonts w:ascii="Arial" w:hAnsi="Arial" w:cs="Arial"/>
          <w:sz w:val="24"/>
          <w:szCs w:val="24"/>
        </w:rPr>
      </w:pPr>
      <w:r w:rsidRPr="00387F17">
        <w:rPr>
          <w:rFonts w:ascii="Arial" w:hAnsi="Arial" w:cs="Arial"/>
          <w:b/>
          <w:bCs/>
          <w:sz w:val="24"/>
          <w:szCs w:val="24"/>
        </w:rPr>
        <w:t>NOTE:</w:t>
      </w:r>
      <w:r w:rsidRPr="00387F17">
        <w:rPr>
          <w:rFonts w:ascii="Arial" w:hAnsi="Arial" w:cs="Arial"/>
          <w:sz w:val="24"/>
          <w:szCs w:val="24"/>
        </w:rPr>
        <w:t xml:space="preserve"> The information here is not exhaustive. Please also consult the current Summary of Product Characteristics (SPC) </w:t>
      </w:r>
      <w:r w:rsidR="00F95BA2">
        <w:rPr>
          <w:rFonts w:ascii="Arial" w:hAnsi="Arial" w:cs="Arial"/>
          <w:sz w:val="24"/>
          <w:szCs w:val="24"/>
        </w:rPr>
        <w:t>before</w:t>
      </w:r>
      <w:r w:rsidRPr="00387F17">
        <w:rPr>
          <w:rFonts w:ascii="Arial" w:hAnsi="Arial" w:cs="Arial"/>
          <w:sz w:val="24"/>
          <w:szCs w:val="24"/>
        </w:rPr>
        <w:t xml:space="preserve"> prescribing for up to date prescribing information, including detailed information on adverse effects, drug interactions, cautions and contraindications (available via </w:t>
      </w:r>
      <w:hyperlink r:id="rId14" w:history="1">
        <w:r w:rsidRPr="00387F17">
          <w:rPr>
            <w:rStyle w:val="Hyperlink"/>
            <w:rFonts w:ascii="Arial" w:hAnsi="Arial" w:cs="Arial"/>
            <w:sz w:val="24"/>
            <w:szCs w:val="24"/>
          </w:rPr>
          <w:t>www.medicines.org.uk</w:t>
        </w:r>
      </w:hyperlink>
      <w:r w:rsidRPr="00387F17">
        <w:rPr>
          <w:rFonts w:ascii="Arial" w:hAnsi="Arial" w:cs="Arial"/>
          <w:sz w:val="24"/>
          <w:szCs w:val="24"/>
        </w:rPr>
        <w:t>)</w:t>
      </w:r>
    </w:p>
    <w:p w14:paraId="3FE21FB1" w14:textId="77777777" w:rsidR="00834C7C" w:rsidRPr="0011162F" w:rsidRDefault="00834C7C" w:rsidP="004B4825">
      <w:pPr>
        <w:rPr>
          <w:sz w:val="20"/>
          <w:szCs w:val="24"/>
        </w:rPr>
      </w:pPr>
    </w:p>
    <w:tbl>
      <w:tblPr>
        <w:tblW w:w="1041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8"/>
      </w:tblGrid>
      <w:tr w:rsidR="00834C7C" w:rsidRPr="00387F17" w14:paraId="0ACB50BA" w14:textId="77777777" w:rsidTr="00650A8E">
        <w:tc>
          <w:tcPr>
            <w:tcW w:w="10418" w:type="dxa"/>
            <w:tcBorders>
              <w:top w:val="single" w:sz="12" w:space="0" w:color="auto"/>
            </w:tcBorders>
            <w:shd w:val="clear" w:color="auto" w:fill="3366FF"/>
          </w:tcPr>
          <w:p w14:paraId="60E6A16A" w14:textId="77777777" w:rsidR="00834C7C" w:rsidRPr="00387F17" w:rsidRDefault="00904330" w:rsidP="00904330">
            <w:pPr>
              <w:rPr>
                <w:rFonts w:ascii="Arial" w:hAnsi="Arial" w:cs="Arial"/>
                <w:b/>
                <w:bCs/>
                <w:color w:val="FFFFFF"/>
                <w:sz w:val="24"/>
                <w:szCs w:val="24"/>
              </w:rPr>
            </w:pPr>
            <w:r>
              <w:rPr>
                <w:rFonts w:ascii="Arial" w:hAnsi="Arial" w:cs="Arial"/>
                <w:b/>
                <w:bCs/>
                <w:color w:val="FFFFFF"/>
                <w:sz w:val="24"/>
                <w:szCs w:val="24"/>
              </w:rPr>
              <w:t>Licensed i</w:t>
            </w:r>
            <w:r w:rsidR="00834C7C" w:rsidRPr="00387F17">
              <w:rPr>
                <w:rFonts w:ascii="Arial" w:hAnsi="Arial" w:cs="Arial"/>
                <w:b/>
                <w:bCs/>
                <w:color w:val="FFFFFF"/>
                <w:sz w:val="24"/>
                <w:szCs w:val="24"/>
              </w:rPr>
              <w:t>ndication(s)</w:t>
            </w:r>
          </w:p>
        </w:tc>
      </w:tr>
      <w:tr w:rsidR="00834C7C" w:rsidRPr="00387F17" w14:paraId="44F356A4" w14:textId="77777777" w:rsidTr="00650A8E">
        <w:tc>
          <w:tcPr>
            <w:tcW w:w="10418" w:type="dxa"/>
          </w:tcPr>
          <w:p w14:paraId="34E4B4A8" w14:textId="77777777" w:rsidR="00834C7C" w:rsidRPr="006813BA" w:rsidRDefault="008D257D" w:rsidP="0004116F">
            <w:pPr>
              <w:rPr>
                <w:rFonts w:ascii="Arial" w:hAnsi="Arial" w:cs="Arial"/>
                <w:sz w:val="24"/>
                <w:szCs w:val="24"/>
              </w:rPr>
            </w:pPr>
            <w:r>
              <w:rPr>
                <w:rFonts w:ascii="Arial" w:hAnsi="Arial" w:cs="Arial"/>
                <w:bCs/>
                <w:szCs w:val="24"/>
              </w:rPr>
              <w:t>M</w:t>
            </w:r>
            <w:r w:rsidRPr="008D257D">
              <w:rPr>
                <w:rFonts w:ascii="Arial" w:hAnsi="Arial" w:cs="Arial"/>
                <w:bCs/>
                <w:szCs w:val="24"/>
              </w:rPr>
              <w:t>aintenance treatment of schizophrenia in adult patients stabilised with oral aripiprazole</w:t>
            </w:r>
            <w:r w:rsidR="008A5809">
              <w:rPr>
                <w:rFonts w:ascii="Arial" w:hAnsi="Arial" w:cs="Arial"/>
                <w:bCs/>
                <w:szCs w:val="24"/>
              </w:rPr>
              <w:t>.</w:t>
            </w:r>
          </w:p>
        </w:tc>
      </w:tr>
      <w:tr w:rsidR="00834C7C" w:rsidRPr="00387F17" w14:paraId="77F76A7B" w14:textId="77777777" w:rsidTr="00650A8E">
        <w:tc>
          <w:tcPr>
            <w:tcW w:w="10418" w:type="dxa"/>
            <w:shd w:val="clear" w:color="auto" w:fill="3366FF"/>
          </w:tcPr>
          <w:p w14:paraId="464FA19A" w14:textId="77777777" w:rsidR="00834C7C" w:rsidRPr="00387F17" w:rsidRDefault="00834C7C" w:rsidP="00131B32">
            <w:pPr>
              <w:rPr>
                <w:rFonts w:ascii="Arial" w:hAnsi="Arial" w:cs="Arial"/>
                <w:b/>
                <w:bCs/>
                <w:color w:val="FFFFFF"/>
                <w:sz w:val="24"/>
                <w:szCs w:val="24"/>
              </w:rPr>
            </w:pPr>
            <w:r w:rsidRPr="00387F17">
              <w:rPr>
                <w:rFonts w:ascii="Arial" w:hAnsi="Arial" w:cs="Arial"/>
                <w:b/>
                <w:bCs/>
                <w:color w:val="FFFFFF"/>
                <w:sz w:val="24"/>
                <w:szCs w:val="24"/>
              </w:rPr>
              <w:t>Place in Therapy</w:t>
            </w:r>
            <w:r w:rsidR="00A35E0F">
              <w:rPr>
                <w:rFonts w:ascii="Arial" w:hAnsi="Arial" w:cs="Arial"/>
                <w:b/>
                <w:bCs/>
                <w:color w:val="FFFFFF"/>
                <w:sz w:val="24"/>
                <w:szCs w:val="24"/>
              </w:rPr>
              <w:t xml:space="preserve"> (as approved by </w:t>
            </w:r>
            <w:r w:rsidR="00E24125">
              <w:rPr>
                <w:rFonts w:ascii="Arial" w:hAnsi="Arial" w:cs="Arial"/>
                <w:b/>
                <w:bCs/>
                <w:color w:val="FFFFFF"/>
                <w:sz w:val="24"/>
                <w:szCs w:val="24"/>
              </w:rPr>
              <w:t xml:space="preserve">SEL </w:t>
            </w:r>
            <w:r w:rsidR="00A35E0F">
              <w:rPr>
                <w:rFonts w:ascii="Arial" w:hAnsi="Arial" w:cs="Arial"/>
                <w:b/>
                <w:bCs/>
                <w:color w:val="FFFFFF"/>
                <w:sz w:val="24"/>
                <w:szCs w:val="24"/>
              </w:rPr>
              <w:t>APC)</w:t>
            </w:r>
          </w:p>
        </w:tc>
      </w:tr>
      <w:tr w:rsidR="00834C7C" w:rsidRPr="00387F17" w14:paraId="74F2D219" w14:textId="77777777" w:rsidTr="00650A8E">
        <w:tc>
          <w:tcPr>
            <w:tcW w:w="10418" w:type="dxa"/>
            <w:tcBorders>
              <w:bottom w:val="single" w:sz="12" w:space="0" w:color="auto"/>
            </w:tcBorders>
          </w:tcPr>
          <w:p w14:paraId="5BEED874" w14:textId="105FF7DC" w:rsidR="00834C7C" w:rsidRPr="00A35E0F" w:rsidRDefault="00E24125" w:rsidP="00F95BA2">
            <w:pPr>
              <w:jc w:val="both"/>
              <w:rPr>
                <w:rFonts w:ascii="Arial" w:hAnsi="Arial" w:cs="Arial"/>
                <w:szCs w:val="24"/>
              </w:rPr>
            </w:pPr>
            <w:r w:rsidRPr="00536948">
              <w:rPr>
                <w:rFonts w:ascii="Arial" w:hAnsi="Arial" w:cs="Arial"/>
                <w:szCs w:val="24"/>
              </w:rPr>
              <w:t xml:space="preserve">Aripiprazole </w:t>
            </w:r>
            <w:r w:rsidR="00F95BA2">
              <w:rPr>
                <w:rFonts w:ascii="Arial" w:hAnsi="Arial" w:cs="Arial"/>
                <w:szCs w:val="24"/>
              </w:rPr>
              <w:t xml:space="preserve">long-acting injection </w:t>
            </w:r>
            <w:r w:rsidRPr="00536948">
              <w:rPr>
                <w:rFonts w:ascii="Arial" w:hAnsi="Arial" w:cs="Arial"/>
                <w:szCs w:val="24"/>
              </w:rPr>
              <w:t xml:space="preserve">is approved for use in South East London in line with its licensed indication </w:t>
            </w:r>
          </w:p>
        </w:tc>
      </w:tr>
      <w:tr w:rsidR="00834C7C" w:rsidRPr="00387F17" w14:paraId="311B73FF" w14:textId="77777777" w:rsidTr="00650A8E">
        <w:tc>
          <w:tcPr>
            <w:tcW w:w="10418" w:type="dxa"/>
            <w:tcBorders>
              <w:bottom w:val="single" w:sz="12" w:space="0" w:color="auto"/>
            </w:tcBorders>
            <w:shd w:val="clear" w:color="auto" w:fill="3366FF"/>
          </w:tcPr>
          <w:p w14:paraId="227301DE" w14:textId="77777777" w:rsidR="00834C7C" w:rsidRPr="00387F17" w:rsidRDefault="00834C7C" w:rsidP="00D3506C">
            <w:pPr>
              <w:jc w:val="both"/>
              <w:rPr>
                <w:rFonts w:ascii="Arial" w:hAnsi="Arial" w:cs="Arial"/>
                <w:b/>
                <w:bCs/>
                <w:color w:val="FFFFFF"/>
                <w:sz w:val="24"/>
                <w:szCs w:val="24"/>
              </w:rPr>
            </w:pPr>
            <w:r w:rsidRPr="00387F17">
              <w:rPr>
                <w:rFonts w:ascii="Arial" w:hAnsi="Arial" w:cs="Arial"/>
                <w:b/>
                <w:bCs/>
                <w:color w:val="FFFFFF"/>
                <w:sz w:val="24"/>
                <w:szCs w:val="24"/>
              </w:rPr>
              <w:t>Dose &amp; route of administration</w:t>
            </w:r>
          </w:p>
        </w:tc>
      </w:tr>
      <w:tr w:rsidR="00834C7C" w:rsidRPr="00387F17" w14:paraId="380E3F0C" w14:textId="77777777" w:rsidTr="00650A8E">
        <w:tc>
          <w:tcPr>
            <w:tcW w:w="10418" w:type="dxa"/>
            <w:tcBorders>
              <w:bottom w:val="single" w:sz="12" w:space="0" w:color="auto"/>
            </w:tcBorders>
          </w:tcPr>
          <w:p w14:paraId="279A3809" w14:textId="77777777" w:rsidR="003C0FF7" w:rsidRDefault="009C440C" w:rsidP="009D0FBD">
            <w:pPr>
              <w:pStyle w:val="ListParagraph"/>
              <w:ind w:left="0"/>
              <w:jc w:val="both"/>
              <w:rPr>
                <w:rFonts w:ascii="Arial" w:hAnsi="Arial" w:cs="Arial"/>
                <w:sz w:val="22"/>
                <w:szCs w:val="22"/>
              </w:rPr>
            </w:pPr>
            <w:r w:rsidRPr="00F95BA2">
              <w:rPr>
                <w:rFonts w:ascii="Arial" w:hAnsi="Arial" w:cs="Arial"/>
                <w:sz w:val="22"/>
                <w:szCs w:val="22"/>
              </w:rPr>
              <w:t xml:space="preserve">Aripiprazole </w:t>
            </w:r>
            <w:r w:rsidR="00F95BA2" w:rsidRPr="00F95BA2">
              <w:rPr>
                <w:rFonts w:ascii="Arial" w:hAnsi="Arial" w:cs="Arial"/>
                <w:sz w:val="22"/>
                <w:szCs w:val="22"/>
              </w:rPr>
              <w:t xml:space="preserve">long-acting injection </w:t>
            </w:r>
            <w:r w:rsidRPr="00F95BA2">
              <w:rPr>
                <w:rFonts w:ascii="Arial" w:hAnsi="Arial" w:cs="Arial"/>
                <w:sz w:val="22"/>
                <w:szCs w:val="22"/>
              </w:rPr>
              <w:t>is for intramuscular administration into the gluteal or deltoid muscle.</w:t>
            </w:r>
            <w:r w:rsidR="000D2211">
              <w:rPr>
                <w:rFonts w:ascii="Arial" w:hAnsi="Arial" w:cs="Arial"/>
                <w:sz w:val="22"/>
                <w:szCs w:val="22"/>
              </w:rPr>
              <w:t xml:space="preserve"> </w:t>
            </w:r>
            <w:r w:rsidR="00BD3093" w:rsidRPr="00F95BA2">
              <w:rPr>
                <w:rFonts w:ascii="Arial" w:hAnsi="Arial" w:cs="Arial"/>
                <w:sz w:val="22"/>
                <w:szCs w:val="22"/>
              </w:rPr>
              <w:t>One of two regimens may be followed for administering the starting dose:</w:t>
            </w:r>
            <w:r w:rsidR="009D0FBD">
              <w:rPr>
                <w:rFonts w:ascii="Arial" w:hAnsi="Arial" w:cs="Arial"/>
                <w:sz w:val="22"/>
                <w:szCs w:val="22"/>
              </w:rPr>
              <w:t xml:space="preserve"> </w:t>
            </w:r>
          </w:p>
          <w:p w14:paraId="1C1E9CC0" w14:textId="44275C52" w:rsidR="009D0FBD" w:rsidRPr="000D006F" w:rsidRDefault="009D0FBD" w:rsidP="009D0FBD">
            <w:pPr>
              <w:pStyle w:val="ListParagraph"/>
              <w:ind w:left="0"/>
              <w:jc w:val="both"/>
              <w:rPr>
                <w:rFonts w:ascii="Arial" w:hAnsi="Arial" w:cs="Arial"/>
                <w:b/>
                <w:bCs/>
                <w:sz w:val="22"/>
                <w:szCs w:val="22"/>
              </w:rPr>
            </w:pPr>
            <w:r w:rsidRPr="003C0FF7">
              <w:rPr>
                <w:rFonts w:ascii="Arial" w:hAnsi="Arial" w:cs="Arial"/>
                <w:b/>
                <w:bCs/>
                <w:sz w:val="22"/>
                <w:szCs w:val="22"/>
              </w:rPr>
              <w:t>Note:</w:t>
            </w:r>
            <w:r>
              <w:rPr>
                <w:rFonts w:ascii="Arial" w:hAnsi="Arial" w:cs="Arial"/>
                <w:sz w:val="22"/>
                <w:szCs w:val="22"/>
              </w:rPr>
              <w:t xml:space="preserve"> Starting doses will usually be administered by the </w:t>
            </w:r>
            <w:r w:rsidR="00095046" w:rsidRPr="00474929">
              <w:rPr>
                <w:rFonts w:ascii="Arial" w:hAnsi="Arial" w:cs="Arial"/>
                <w:sz w:val="22"/>
                <w:szCs w:val="22"/>
              </w:rPr>
              <w:t xml:space="preserve">specialist </w:t>
            </w:r>
            <w:r w:rsidR="00095046">
              <w:rPr>
                <w:rFonts w:ascii="Arial" w:hAnsi="Arial" w:cs="Arial"/>
                <w:sz w:val="22"/>
                <w:szCs w:val="22"/>
              </w:rPr>
              <w:t>psychiatric</w:t>
            </w:r>
            <w:r w:rsidR="00095046" w:rsidRPr="00474929">
              <w:rPr>
                <w:rFonts w:ascii="Arial" w:hAnsi="Arial" w:cs="Arial"/>
                <w:sz w:val="22"/>
                <w:szCs w:val="22"/>
              </w:rPr>
              <w:t xml:space="preserve"> team</w:t>
            </w:r>
            <w:r w:rsidR="003C0FF7">
              <w:rPr>
                <w:rFonts w:ascii="Arial" w:hAnsi="Arial" w:cs="Arial"/>
                <w:sz w:val="22"/>
                <w:szCs w:val="22"/>
              </w:rPr>
              <w:t xml:space="preserve">. </w:t>
            </w:r>
            <w:r w:rsidR="003C0FF7" w:rsidRPr="000D006F">
              <w:rPr>
                <w:rFonts w:ascii="Arial" w:hAnsi="Arial" w:cs="Arial"/>
                <w:sz w:val="22"/>
                <w:szCs w:val="22"/>
              </w:rPr>
              <w:t>The loading dose information is provided here for information only. The shared care covers the maintenance dosing only.</w:t>
            </w:r>
            <w:r w:rsidR="00095046" w:rsidRPr="000D006F">
              <w:rPr>
                <w:rFonts w:ascii="Arial" w:hAnsi="Arial" w:cs="Arial"/>
                <w:sz w:val="22"/>
                <w:szCs w:val="22"/>
              </w:rPr>
              <w:t xml:space="preserve">  </w:t>
            </w:r>
            <w:r w:rsidR="00095046" w:rsidRPr="000D006F">
              <w:rPr>
                <w:rFonts w:ascii="Arial" w:hAnsi="Arial" w:cs="Arial"/>
                <w:b/>
                <w:bCs/>
                <w:sz w:val="22"/>
                <w:szCs w:val="22"/>
              </w:rPr>
              <w:t xml:space="preserve">For missed doses please contact medicines information for advice (see below for details).    </w:t>
            </w:r>
          </w:p>
          <w:p w14:paraId="6680F115" w14:textId="77777777" w:rsidR="00BD3093" w:rsidRPr="000D006F" w:rsidRDefault="00BD3093" w:rsidP="00C47B83">
            <w:pPr>
              <w:pStyle w:val="ListParagraph"/>
              <w:ind w:left="0"/>
              <w:jc w:val="both"/>
              <w:rPr>
                <w:rFonts w:ascii="Arial" w:hAnsi="Arial" w:cs="Arial"/>
                <w:b/>
                <w:bCs/>
                <w:sz w:val="22"/>
                <w:szCs w:val="22"/>
              </w:rPr>
            </w:pPr>
          </w:p>
          <w:p w14:paraId="7BAD9801" w14:textId="77777777" w:rsidR="00BD3093" w:rsidRPr="00F95BA2" w:rsidRDefault="00BD3093" w:rsidP="00BD3093">
            <w:pPr>
              <w:pStyle w:val="ListParagraph"/>
              <w:ind w:left="0"/>
              <w:jc w:val="both"/>
              <w:rPr>
                <w:rFonts w:ascii="Arial" w:hAnsi="Arial" w:cs="Arial"/>
                <w:sz w:val="22"/>
                <w:szCs w:val="22"/>
                <w:lang w:val="en"/>
              </w:rPr>
            </w:pPr>
            <w:r w:rsidRPr="00F95BA2">
              <w:rPr>
                <w:rFonts w:ascii="Arial" w:hAnsi="Arial" w:cs="Arial"/>
                <w:sz w:val="22"/>
                <w:szCs w:val="22"/>
                <w:lang w:val="en"/>
              </w:rPr>
              <w:t>One injection start</w:t>
            </w:r>
          </w:p>
          <w:p w14:paraId="0DB02242" w14:textId="7357BCD5" w:rsidR="00BD3093" w:rsidRDefault="00BD3093" w:rsidP="00BD3093">
            <w:pPr>
              <w:pStyle w:val="ListParagraph"/>
              <w:ind w:left="0"/>
              <w:jc w:val="both"/>
              <w:rPr>
                <w:rFonts w:ascii="Arial" w:hAnsi="Arial" w:cs="Arial"/>
                <w:sz w:val="22"/>
                <w:szCs w:val="22"/>
                <w:lang w:val="en"/>
              </w:rPr>
            </w:pPr>
            <w:r w:rsidRPr="00F95BA2">
              <w:rPr>
                <w:rFonts w:ascii="Arial" w:hAnsi="Arial" w:cs="Arial"/>
                <w:sz w:val="22"/>
                <w:szCs w:val="22"/>
                <w:lang w:val="en"/>
              </w:rPr>
              <w:t xml:space="preserve">On the day of initiation, administer one injection of 400 mg </w:t>
            </w:r>
            <w:r w:rsidR="001E0A3F" w:rsidRPr="00F95BA2">
              <w:rPr>
                <w:rFonts w:ascii="Arial" w:hAnsi="Arial" w:cs="Arial"/>
                <w:sz w:val="22"/>
                <w:szCs w:val="22"/>
                <w:lang w:val="en"/>
              </w:rPr>
              <w:t xml:space="preserve">aripiprazole </w:t>
            </w:r>
            <w:r w:rsidR="00FA03F3">
              <w:rPr>
                <w:rFonts w:ascii="Arial" w:hAnsi="Arial" w:cs="Arial"/>
                <w:sz w:val="22"/>
                <w:szCs w:val="22"/>
                <w:lang w:val="en"/>
              </w:rPr>
              <w:t>long-acting injection</w:t>
            </w:r>
            <w:r w:rsidRPr="00F95BA2">
              <w:rPr>
                <w:rFonts w:ascii="Arial" w:hAnsi="Arial" w:cs="Arial"/>
                <w:sz w:val="22"/>
                <w:szCs w:val="22"/>
                <w:lang w:val="en"/>
              </w:rPr>
              <w:t xml:space="preserve"> and continue treatment with </w:t>
            </w:r>
            <w:r w:rsidR="00674600">
              <w:rPr>
                <w:rFonts w:ascii="Arial" w:hAnsi="Arial" w:cs="Arial"/>
                <w:sz w:val="22"/>
                <w:szCs w:val="22"/>
                <w:lang w:val="en"/>
              </w:rPr>
              <w:t>or</w:t>
            </w:r>
            <w:r w:rsidRPr="00F95BA2">
              <w:rPr>
                <w:rFonts w:ascii="Arial" w:hAnsi="Arial" w:cs="Arial"/>
                <w:sz w:val="22"/>
                <w:szCs w:val="22"/>
                <w:lang w:val="en"/>
              </w:rPr>
              <w:t xml:space="preserve">al aripiprazole </w:t>
            </w:r>
            <w:r w:rsidR="00674600">
              <w:rPr>
                <w:rFonts w:ascii="Arial" w:hAnsi="Arial" w:cs="Arial"/>
                <w:sz w:val="22"/>
                <w:szCs w:val="22"/>
                <w:lang w:val="en"/>
              </w:rPr>
              <w:t>f</w:t>
            </w:r>
            <w:r w:rsidRPr="00F95BA2">
              <w:rPr>
                <w:rFonts w:ascii="Arial" w:hAnsi="Arial" w:cs="Arial"/>
                <w:sz w:val="22"/>
                <w:szCs w:val="22"/>
                <w:lang w:val="en"/>
              </w:rPr>
              <w:t xml:space="preserve">or 14 consecutive days. </w:t>
            </w:r>
          </w:p>
          <w:p w14:paraId="7B27D456" w14:textId="77777777" w:rsidR="000D2211" w:rsidRPr="00F95BA2" w:rsidRDefault="000D2211" w:rsidP="00BD3093">
            <w:pPr>
              <w:pStyle w:val="ListParagraph"/>
              <w:ind w:left="0"/>
              <w:jc w:val="both"/>
              <w:rPr>
                <w:rFonts w:ascii="Arial" w:hAnsi="Arial" w:cs="Arial"/>
                <w:sz w:val="22"/>
                <w:szCs w:val="22"/>
                <w:lang w:val="en"/>
              </w:rPr>
            </w:pPr>
          </w:p>
          <w:p w14:paraId="7449D37D" w14:textId="3BA43E7D" w:rsidR="00BD3093" w:rsidRDefault="00BD3093" w:rsidP="00BD3093">
            <w:pPr>
              <w:pStyle w:val="ListParagraph"/>
              <w:ind w:left="0"/>
              <w:jc w:val="both"/>
              <w:rPr>
                <w:rFonts w:ascii="Arial" w:hAnsi="Arial" w:cs="Arial"/>
                <w:b/>
                <w:sz w:val="22"/>
                <w:szCs w:val="22"/>
                <w:lang w:val="en"/>
              </w:rPr>
            </w:pPr>
            <w:r w:rsidRPr="000D2211">
              <w:rPr>
                <w:rFonts w:ascii="Arial" w:hAnsi="Arial" w:cs="Arial"/>
                <w:b/>
                <w:sz w:val="22"/>
                <w:szCs w:val="22"/>
                <w:lang w:val="en"/>
              </w:rPr>
              <w:t>Or</w:t>
            </w:r>
          </w:p>
          <w:p w14:paraId="26FE0659" w14:textId="77777777" w:rsidR="000D2211" w:rsidRPr="000D2211" w:rsidRDefault="000D2211" w:rsidP="00BD3093">
            <w:pPr>
              <w:pStyle w:val="ListParagraph"/>
              <w:ind w:left="0"/>
              <w:jc w:val="both"/>
              <w:rPr>
                <w:rFonts w:ascii="Arial" w:hAnsi="Arial" w:cs="Arial"/>
                <w:b/>
                <w:sz w:val="22"/>
                <w:szCs w:val="22"/>
                <w:lang w:val="en"/>
              </w:rPr>
            </w:pPr>
          </w:p>
          <w:p w14:paraId="4F435FB1" w14:textId="77777777" w:rsidR="00BD3093" w:rsidRPr="00F95BA2" w:rsidRDefault="00BD3093" w:rsidP="00BD3093">
            <w:pPr>
              <w:pStyle w:val="ListParagraph"/>
              <w:ind w:left="0"/>
              <w:jc w:val="both"/>
              <w:rPr>
                <w:rFonts w:ascii="Arial" w:hAnsi="Arial" w:cs="Arial"/>
                <w:sz w:val="22"/>
                <w:szCs w:val="22"/>
                <w:lang w:val="en"/>
              </w:rPr>
            </w:pPr>
            <w:r w:rsidRPr="00F95BA2">
              <w:rPr>
                <w:rFonts w:ascii="Arial" w:hAnsi="Arial" w:cs="Arial"/>
                <w:sz w:val="22"/>
                <w:szCs w:val="22"/>
                <w:lang w:val="en"/>
              </w:rPr>
              <w:t xml:space="preserve">Two injection start: </w:t>
            </w:r>
          </w:p>
          <w:p w14:paraId="66BAD7C0" w14:textId="412D1DC0" w:rsidR="00BD3093" w:rsidRPr="00F95BA2" w:rsidRDefault="00BD3093" w:rsidP="00BD3093">
            <w:pPr>
              <w:pStyle w:val="ListParagraph"/>
              <w:ind w:left="0"/>
              <w:jc w:val="both"/>
              <w:rPr>
                <w:rFonts w:ascii="Arial" w:hAnsi="Arial" w:cs="Arial"/>
                <w:sz w:val="22"/>
                <w:szCs w:val="22"/>
                <w:lang w:val="en"/>
              </w:rPr>
            </w:pPr>
            <w:r w:rsidRPr="00F95BA2">
              <w:rPr>
                <w:rFonts w:ascii="Arial" w:hAnsi="Arial" w:cs="Arial"/>
                <w:sz w:val="22"/>
                <w:szCs w:val="22"/>
                <w:lang w:val="en"/>
              </w:rPr>
              <w:t xml:space="preserve">On the day of initiation, administer two separate injections of 400 mg </w:t>
            </w:r>
            <w:r w:rsidR="001E0A3F" w:rsidRPr="00F95BA2">
              <w:rPr>
                <w:rFonts w:ascii="Arial" w:hAnsi="Arial" w:cs="Arial"/>
                <w:sz w:val="22"/>
                <w:szCs w:val="22"/>
                <w:lang w:val="en"/>
              </w:rPr>
              <w:t xml:space="preserve">aripiprazole </w:t>
            </w:r>
            <w:r w:rsidR="00FA03F3">
              <w:rPr>
                <w:rFonts w:ascii="Arial" w:hAnsi="Arial" w:cs="Arial"/>
                <w:sz w:val="22"/>
                <w:szCs w:val="22"/>
                <w:lang w:val="en"/>
              </w:rPr>
              <w:t xml:space="preserve">long-acting injection </w:t>
            </w:r>
            <w:r w:rsidRPr="00F95BA2">
              <w:rPr>
                <w:rFonts w:ascii="Arial" w:hAnsi="Arial" w:cs="Arial"/>
                <w:sz w:val="22"/>
                <w:szCs w:val="22"/>
                <w:lang w:val="en"/>
              </w:rPr>
              <w:t>at separate injection sites</w:t>
            </w:r>
            <w:r w:rsidR="001E0A3F" w:rsidRPr="00F95BA2">
              <w:rPr>
                <w:rFonts w:ascii="Arial" w:hAnsi="Arial" w:cs="Arial"/>
                <w:sz w:val="22"/>
                <w:szCs w:val="22"/>
                <w:lang w:val="en"/>
              </w:rPr>
              <w:t xml:space="preserve"> in two different muscles</w:t>
            </w:r>
            <w:r w:rsidR="00296EB1" w:rsidRPr="00F95BA2">
              <w:rPr>
                <w:rFonts w:ascii="Arial" w:hAnsi="Arial" w:cs="Arial"/>
                <w:sz w:val="22"/>
                <w:szCs w:val="22"/>
                <w:lang w:val="en"/>
              </w:rPr>
              <w:t xml:space="preserve"> (see</w:t>
            </w:r>
            <w:r w:rsidR="00775372" w:rsidRPr="00F95BA2">
              <w:rPr>
                <w:rFonts w:ascii="Arial" w:hAnsi="Arial" w:cs="Arial"/>
                <w:sz w:val="22"/>
                <w:szCs w:val="22"/>
                <w:lang w:val="en"/>
              </w:rPr>
              <w:t xml:space="preserve"> </w:t>
            </w:r>
            <w:hyperlink r:id="rId15" w:history="1">
              <w:r w:rsidR="00775372" w:rsidRPr="000D2211">
                <w:rPr>
                  <w:rStyle w:val="Hyperlink"/>
                  <w:rFonts w:ascii="Arial" w:hAnsi="Arial" w:cs="Arial"/>
                  <w:sz w:val="22"/>
                  <w:szCs w:val="22"/>
                  <w:lang w:val="en"/>
                </w:rPr>
                <w:t>SPC</w:t>
              </w:r>
            </w:hyperlink>
            <w:r w:rsidR="00775372" w:rsidRPr="00F95BA2">
              <w:rPr>
                <w:rFonts w:ascii="Arial" w:hAnsi="Arial" w:cs="Arial"/>
                <w:sz w:val="22"/>
                <w:szCs w:val="22"/>
                <w:lang w:val="en"/>
              </w:rPr>
              <w:t>)</w:t>
            </w:r>
            <w:r w:rsidR="001E0A3F" w:rsidRPr="00F95BA2">
              <w:rPr>
                <w:rFonts w:ascii="Arial" w:hAnsi="Arial" w:cs="Arial"/>
                <w:sz w:val="22"/>
                <w:szCs w:val="22"/>
                <w:lang w:val="en"/>
              </w:rPr>
              <w:t>,</w:t>
            </w:r>
            <w:r w:rsidRPr="00F95BA2">
              <w:rPr>
                <w:rFonts w:ascii="Arial" w:hAnsi="Arial" w:cs="Arial"/>
                <w:sz w:val="22"/>
                <w:szCs w:val="22"/>
                <w:lang w:val="en"/>
              </w:rPr>
              <w:t xml:space="preserve"> along with one 20 mg dose of oral aripiprazole. </w:t>
            </w:r>
          </w:p>
          <w:p w14:paraId="28F3C169" w14:textId="754186A2" w:rsidR="00BD3093" w:rsidRDefault="00BD3093" w:rsidP="00C47B83">
            <w:pPr>
              <w:pStyle w:val="ListParagraph"/>
              <w:ind w:left="0"/>
              <w:jc w:val="both"/>
              <w:rPr>
                <w:rFonts w:ascii="Arial" w:hAnsi="Arial" w:cs="Arial"/>
                <w:sz w:val="22"/>
                <w:szCs w:val="22"/>
              </w:rPr>
            </w:pPr>
          </w:p>
          <w:p w14:paraId="2A4F98C3" w14:textId="3615D981" w:rsidR="00BD3093" w:rsidRPr="009D0FBD" w:rsidRDefault="00EC099D" w:rsidP="00C47B83">
            <w:pPr>
              <w:pStyle w:val="ListParagraph"/>
              <w:ind w:left="0"/>
              <w:jc w:val="both"/>
              <w:rPr>
                <w:rFonts w:ascii="Arial" w:hAnsi="Arial" w:cs="Arial"/>
                <w:b/>
                <w:sz w:val="22"/>
                <w:szCs w:val="22"/>
              </w:rPr>
            </w:pPr>
            <w:r w:rsidRPr="009D0FBD">
              <w:rPr>
                <w:rFonts w:ascii="Arial" w:hAnsi="Arial" w:cs="Arial"/>
                <w:b/>
                <w:sz w:val="22"/>
                <w:szCs w:val="22"/>
              </w:rPr>
              <w:t>Maintenance</w:t>
            </w:r>
            <w:r w:rsidR="009D0FBD">
              <w:rPr>
                <w:rFonts w:ascii="Arial" w:hAnsi="Arial" w:cs="Arial"/>
                <w:b/>
                <w:sz w:val="22"/>
                <w:szCs w:val="22"/>
              </w:rPr>
              <w:t xml:space="preserve"> dose</w:t>
            </w:r>
          </w:p>
          <w:p w14:paraId="5F4D549C" w14:textId="039899F9" w:rsidR="00F95BA2" w:rsidRDefault="007F2333" w:rsidP="00F95BA2">
            <w:pPr>
              <w:numPr>
                <w:ilvl w:val="0"/>
                <w:numId w:val="29"/>
              </w:numPr>
              <w:jc w:val="both"/>
              <w:rPr>
                <w:rFonts w:ascii="Arial" w:hAnsi="Arial" w:cs="Arial"/>
              </w:rPr>
            </w:pPr>
            <w:r w:rsidRPr="00F95BA2">
              <w:rPr>
                <w:rFonts w:ascii="Arial" w:hAnsi="Arial" w:cs="Arial"/>
              </w:rPr>
              <w:t>300–</w:t>
            </w:r>
            <w:r w:rsidR="001E0A3F" w:rsidRPr="00F95BA2">
              <w:rPr>
                <w:rFonts w:ascii="Arial" w:hAnsi="Arial" w:cs="Arial"/>
              </w:rPr>
              <w:t>400mg each month</w:t>
            </w:r>
            <w:r w:rsidR="00F95BA2">
              <w:rPr>
                <w:rFonts w:ascii="Arial" w:hAnsi="Arial" w:cs="Arial"/>
              </w:rPr>
              <w:t xml:space="preserve">. </w:t>
            </w:r>
          </w:p>
          <w:p w14:paraId="6374A5FC" w14:textId="2CE50BD7" w:rsidR="00F95BA2" w:rsidRPr="00BD719D" w:rsidRDefault="00F95BA2" w:rsidP="00F95BA2">
            <w:pPr>
              <w:numPr>
                <w:ilvl w:val="0"/>
                <w:numId w:val="29"/>
              </w:numPr>
              <w:jc w:val="both"/>
              <w:rPr>
                <w:rFonts w:ascii="Arial" w:hAnsi="Arial" w:cs="Arial"/>
              </w:rPr>
            </w:pPr>
            <w:r w:rsidRPr="00F95BA2">
              <w:rPr>
                <w:rFonts w:ascii="Arial" w:hAnsi="Arial" w:cs="Arial"/>
              </w:rPr>
              <w:t xml:space="preserve">The starting dose is 400mg. The dose may be reduced to 300mg a month if 400mg is poorly tolerated.  However, GPs should contact the psychiatrist before making any dose adjustments. No other doses may be used except in those patients receiving potent hepatic enzyme inhibiting drugs (e.g., ketoconazole and quinidine). </w:t>
            </w:r>
            <w:r w:rsidRPr="00BD719D">
              <w:rPr>
                <w:rFonts w:ascii="Arial" w:hAnsi="Arial" w:cs="Arial"/>
              </w:rPr>
              <w:t xml:space="preserve">Aripiprazole </w:t>
            </w:r>
            <w:r w:rsidR="00FA03F3">
              <w:rPr>
                <w:rFonts w:ascii="Arial" w:hAnsi="Arial" w:cs="Arial"/>
              </w:rPr>
              <w:t>long-acting</w:t>
            </w:r>
            <w:r w:rsidRPr="00BD719D">
              <w:rPr>
                <w:rFonts w:ascii="Arial" w:hAnsi="Arial" w:cs="Arial"/>
              </w:rPr>
              <w:t xml:space="preserve"> injection is not recommended for patients taking concomitant CYP3A4 inducers (e.g., carbamazepine). See </w:t>
            </w:r>
            <w:hyperlink r:id="rId16" w:history="1">
              <w:r w:rsidRPr="00F95BA2">
                <w:rPr>
                  <w:rStyle w:val="Hyperlink"/>
                  <w:rFonts w:ascii="Arial" w:hAnsi="Arial" w:cs="Arial"/>
                </w:rPr>
                <w:t>SPC</w:t>
              </w:r>
            </w:hyperlink>
            <w:r w:rsidRPr="00F95BA2">
              <w:rPr>
                <w:rStyle w:val="Hyperlink"/>
                <w:rFonts w:ascii="Arial" w:hAnsi="Arial" w:cs="Arial"/>
              </w:rPr>
              <w:t xml:space="preserve"> </w:t>
            </w:r>
            <w:r w:rsidRPr="00F95BA2">
              <w:rPr>
                <w:rStyle w:val="Hyperlink"/>
                <w:rFonts w:ascii="Arial" w:hAnsi="Arial" w:cs="Arial"/>
                <w:color w:val="auto"/>
                <w:u w:val="none"/>
              </w:rPr>
              <w:t>for further details or contact medicines information</w:t>
            </w:r>
            <w:r w:rsidRPr="00BD719D">
              <w:rPr>
                <w:rFonts w:ascii="Arial" w:hAnsi="Arial" w:cs="Arial"/>
              </w:rPr>
              <w:t xml:space="preserve">.  </w:t>
            </w:r>
          </w:p>
          <w:p w14:paraId="2A025F49" w14:textId="7DA4A1FA" w:rsidR="00BD3093" w:rsidRPr="000D2211" w:rsidRDefault="009C440C" w:rsidP="00C47B83">
            <w:pPr>
              <w:numPr>
                <w:ilvl w:val="0"/>
                <w:numId w:val="29"/>
              </w:numPr>
              <w:ind w:left="0"/>
              <w:jc w:val="both"/>
              <w:rPr>
                <w:rFonts w:ascii="Arial" w:hAnsi="Arial" w:cs="Arial"/>
              </w:rPr>
            </w:pPr>
            <w:r w:rsidRPr="000D2211">
              <w:rPr>
                <w:rFonts w:ascii="Arial" w:hAnsi="Arial" w:cs="Arial"/>
              </w:rPr>
              <w:t xml:space="preserve">Dose adjustments are necessary in patients taking CYP2D6 and CYP3A4 inhibitors. See </w:t>
            </w:r>
            <w:hyperlink r:id="rId17" w:history="1">
              <w:r w:rsidRPr="000D2211">
                <w:rPr>
                  <w:rStyle w:val="Hyperlink"/>
                  <w:rFonts w:ascii="Arial" w:hAnsi="Arial" w:cs="Arial"/>
                </w:rPr>
                <w:t>SPC</w:t>
              </w:r>
            </w:hyperlink>
            <w:r w:rsidRPr="000D2211">
              <w:rPr>
                <w:rFonts w:ascii="Arial" w:hAnsi="Arial" w:cs="Arial"/>
              </w:rPr>
              <w:t xml:space="preserve"> for details or contact medicines information when introducing a new drug for long-term use. </w:t>
            </w:r>
          </w:p>
        </w:tc>
      </w:tr>
      <w:tr w:rsidR="00834C7C" w:rsidRPr="00387F17" w14:paraId="254734FE" w14:textId="77777777" w:rsidTr="00650A8E">
        <w:tc>
          <w:tcPr>
            <w:tcW w:w="10418" w:type="dxa"/>
            <w:tcBorders>
              <w:top w:val="single" w:sz="12" w:space="0" w:color="auto"/>
              <w:bottom w:val="single" w:sz="12" w:space="0" w:color="auto"/>
            </w:tcBorders>
            <w:shd w:val="clear" w:color="auto" w:fill="3366FF"/>
          </w:tcPr>
          <w:p w14:paraId="15958CCC" w14:textId="77777777" w:rsidR="00834C7C" w:rsidRPr="00387F17" w:rsidRDefault="00834C7C" w:rsidP="00D3506C">
            <w:pPr>
              <w:pStyle w:val="ListParagraph"/>
              <w:tabs>
                <w:tab w:val="num" w:pos="461"/>
              </w:tabs>
              <w:ind w:left="360" w:hanging="360"/>
              <w:jc w:val="both"/>
              <w:rPr>
                <w:rFonts w:ascii="Arial" w:hAnsi="Arial" w:cs="Arial"/>
                <w:b/>
                <w:bCs/>
                <w:color w:val="FFFFFF"/>
                <w:lang w:val="en-AU"/>
              </w:rPr>
            </w:pPr>
            <w:r w:rsidRPr="00387F17">
              <w:rPr>
                <w:rFonts w:ascii="Arial" w:hAnsi="Arial" w:cs="Arial"/>
                <w:b/>
                <w:bCs/>
                <w:color w:val="FFFFFF"/>
                <w:lang w:val="en-AU"/>
              </w:rPr>
              <w:t xml:space="preserve">Duration of treatment </w:t>
            </w:r>
          </w:p>
        </w:tc>
      </w:tr>
      <w:tr w:rsidR="00834C7C" w:rsidRPr="00387F17" w14:paraId="2CA0CB55" w14:textId="77777777" w:rsidTr="00650A8E">
        <w:tc>
          <w:tcPr>
            <w:tcW w:w="10418" w:type="dxa"/>
            <w:tcBorders>
              <w:bottom w:val="single" w:sz="12" w:space="0" w:color="auto"/>
            </w:tcBorders>
          </w:tcPr>
          <w:p w14:paraId="37C8C7AB" w14:textId="77777777" w:rsidR="00834C7C" w:rsidRPr="00387F17" w:rsidRDefault="00774EAE" w:rsidP="00C47B83">
            <w:pPr>
              <w:pStyle w:val="ListParagraph"/>
              <w:tabs>
                <w:tab w:val="num" w:pos="461"/>
              </w:tabs>
              <w:ind w:left="360" w:hanging="360"/>
              <w:jc w:val="both"/>
              <w:rPr>
                <w:rFonts w:ascii="Arial" w:hAnsi="Arial" w:cs="Arial"/>
                <w:lang w:val="en-AU"/>
              </w:rPr>
            </w:pPr>
            <w:r w:rsidRPr="008D257D">
              <w:rPr>
                <w:rFonts w:ascii="Arial" w:hAnsi="Arial" w:cs="Arial"/>
                <w:sz w:val="22"/>
                <w:lang w:val="en-AU"/>
              </w:rPr>
              <w:t>I</w:t>
            </w:r>
            <w:r w:rsidR="002D4059" w:rsidRPr="008D257D">
              <w:rPr>
                <w:rFonts w:ascii="Arial" w:hAnsi="Arial" w:cs="Arial"/>
                <w:sz w:val="22"/>
                <w:lang w:val="en-AU"/>
              </w:rPr>
              <w:t>ndefinite</w:t>
            </w:r>
            <w:r w:rsidRPr="008D257D">
              <w:rPr>
                <w:rFonts w:ascii="Arial" w:hAnsi="Arial" w:cs="Arial"/>
                <w:sz w:val="22"/>
                <w:lang w:val="en-AU"/>
              </w:rPr>
              <w:t xml:space="preserve">. Long-term </w:t>
            </w:r>
          </w:p>
        </w:tc>
      </w:tr>
      <w:tr w:rsidR="00834C7C" w:rsidRPr="00387F17" w14:paraId="7063F8BA" w14:textId="77777777" w:rsidTr="00650A8E">
        <w:tc>
          <w:tcPr>
            <w:tcW w:w="10418" w:type="dxa"/>
            <w:shd w:val="clear" w:color="auto" w:fill="3366FF"/>
          </w:tcPr>
          <w:p w14:paraId="2FA5380C" w14:textId="77777777" w:rsidR="00834C7C" w:rsidRPr="00387F17" w:rsidRDefault="00834C7C" w:rsidP="007B2F63">
            <w:pPr>
              <w:rPr>
                <w:rFonts w:ascii="Arial" w:hAnsi="Arial" w:cs="Arial"/>
                <w:color w:val="FFFFFF"/>
                <w:sz w:val="24"/>
                <w:szCs w:val="24"/>
              </w:rPr>
            </w:pPr>
            <w:r w:rsidRPr="00387F17">
              <w:rPr>
                <w:rFonts w:ascii="Arial" w:hAnsi="Arial" w:cs="Arial"/>
                <w:b/>
                <w:bCs/>
                <w:color w:val="FFFFFF"/>
                <w:sz w:val="24"/>
                <w:szCs w:val="24"/>
              </w:rPr>
              <w:t>Criteria for stopping treatment</w:t>
            </w:r>
          </w:p>
        </w:tc>
      </w:tr>
      <w:tr w:rsidR="00834C7C" w:rsidRPr="00387F17" w14:paraId="7068FA40" w14:textId="77777777" w:rsidTr="00650A8E">
        <w:trPr>
          <w:trHeight w:val="1146"/>
        </w:trPr>
        <w:tc>
          <w:tcPr>
            <w:tcW w:w="10418" w:type="dxa"/>
            <w:tcBorders>
              <w:bottom w:val="single" w:sz="12" w:space="0" w:color="auto"/>
            </w:tcBorders>
          </w:tcPr>
          <w:p w14:paraId="4649E5A4" w14:textId="77777777" w:rsidR="00DA0CC8" w:rsidRPr="008D257D" w:rsidRDefault="006813BA" w:rsidP="006813BA">
            <w:pPr>
              <w:numPr>
                <w:ilvl w:val="0"/>
                <w:numId w:val="28"/>
              </w:numPr>
              <w:rPr>
                <w:rFonts w:ascii="Arial" w:hAnsi="Arial" w:cs="Arial"/>
                <w:szCs w:val="24"/>
              </w:rPr>
            </w:pPr>
            <w:r w:rsidRPr="008D257D">
              <w:rPr>
                <w:rFonts w:ascii="Arial" w:hAnsi="Arial" w:cs="Arial"/>
                <w:szCs w:val="24"/>
              </w:rPr>
              <w:t>Significant adverse reaction</w:t>
            </w:r>
          </w:p>
          <w:p w14:paraId="1BFB97FA" w14:textId="77777777" w:rsidR="00AE5643" w:rsidRPr="008D257D" w:rsidRDefault="00AE5643" w:rsidP="006813BA">
            <w:pPr>
              <w:numPr>
                <w:ilvl w:val="0"/>
                <w:numId w:val="28"/>
              </w:numPr>
              <w:rPr>
                <w:rFonts w:ascii="Arial" w:hAnsi="Arial" w:cs="Arial"/>
                <w:szCs w:val="24"/>
              </w:rPr>
            </w:pPr>
            <w:r w:rsidRPr="008D257D">
              <w:rPr>
                <w:rFonts w:ascii="Arial" w:hAnsi="Arial" w:cs="Arial"/>
                <w:szCs w:val="24"/>
              </w:rPr>
              <w:t>Intolerable side effects</w:t>
            </w:r>
          </w:p>
          <w:p w14:paraId="1E020BAB" w14:textId="77777777" w:rsidR="00DA0CC8" w:rsidRPr="008D257D" w:rsidRDefault="006813BA" w:rsidP="006813BA">
            <w:pPr>
              <w:numPr>
                <w:ilvl w:val="0"/>
                <w:numId w:val="28"/>
              </w:numPr>
              <w:rPr>
                <w:rFonts w:ascii="Arial" w:hAnsi="Arial" w:cs="Arial"/>
                <w:szCs w:val="24"/>
              </w:rPr>
            </w:pPr>
            <w:r w:rsidRPr="008D257D">
              <w:rPr>
                <w:rFonts w:ascii="Arial" w:hAnsi="Arial" w:cs="Arial"/>
                <w:szCs w:val="24"/>
              </w:rPr>
              <w:t>Lack of efficacy</w:t>
            </w:r>
          </w:p>
          <w:p w14:paraId="4F865B4A" w14:textId="77777777" w:rsidR="00834C7C" w:rsidRPr="00387F17" w:rsidRDefault="006813BA" w:rsidP="00C71813">
            <w:pPr>
              <w:numPr>
                <w:ilvl w:val="0"/>
                <w:numId w:val="28"/>
              </w:numPr>
              <w:rPr>
                <w:rFonts w:ascii="Arial" w:hAnsi="Arial" w:cs="Arial"/>
                <w:color w:val="FF0000"/>
                <w:sz w:val="24"/>
                <w:szCs w:val="24"/>
              </w:rPr>
            </w:pPr>
            <w:r w:rsidRPr="008D257D">
              <w:rPr>
                <w:rFonts w:ascii="Arial" w:hAnsi="Arial" w:cs="Arial"/>
                <w:szCs w:val="24"/>
              </w:rPr>
              <w:t>At request of patient/family</w:t>
            </w:r>
            <w:r w:rsidR="00C71813">
              <w:rPr>
                <w:rFonts w:ascii="Arial" w:hAnsi="Arial" w:cs="Arial"/>
                <w:szCs w:val="24"/>
              </w:rPr>
              <w:t xml:space="preserve">. </w:t>
            </w:r>
            <w:r w:rsidR="00C71813" w:rsidRPr="00C71813">
              <w:rPr>
                <w:rFonts w:ascii="Arial" w:hAnsi="Arial" w:cs="Arial"/>
                <w:szCs w:val="24"/>
              </w:rPr>
              <w:t>Patient must discuss any decision to stop or change medication with the specialist team.</w:t>
            </w:r>
          </w:p>
        </w:tc>
      </w:tr>
      <w:tr w:rsidR="00834C7C" w:rsidRPr="00387F17" w14:paraId="1303B830" w14:textId="77777777" w:rsidTr="00650A8E">
        <w:tc>
          <w:tcPr>
            <w:tcW w:w="10418" w:type="dxa"/>
            <w:tcBorders>
              <w:top w:val="single" w:sz="12" w:space="0" w:color="auto"/>
            </w:tcBorders>
            <w:shd w:val="clear" w:color="auto" w:fill="3366FF"/>
          </w:tcPr>
          <w:p w14:paraId="06555753" w14:textId="77777777" w:rsidR="00834C7C" w:rsidRPr="00387F17" w:rsidRDefault="00834C7C" w:rsidP="00131B32">
            <w:pPr>
              <w:rPr>
                <w:rFonts w:ascii="Arial" w:hAnsi="Arial" w:cs="Arial"/>
                <w:color w:val="FFFFFF"/>
                <w:sz w:val="24"/>
                <w:szCs w:val="24"/>
              </w:rPr>
            </w:pPr>
            <w:r w:rsidRPr="00387F17">
              <w:rPr>
                <w:rFonts w:ascii="Arial" w:hAnsi="Arial" w:cs="Arial"/>
                <w:b/>
                <w:bCs/>
                <w:color w:val="FFFFFF"/>
                <w:sz w:val="24"/>
                <w:szCs w:val="24"/>
              </w:rPr>
              <w:t>Monitoring Requirements including frequency</w:t>
            </w:r>
          </w:p>
        </w:tc>
      </w:tr>
      <w:tr w:rsidR="00834C7C" w:rsidRPr="00387F17" w14:paraId="22014D11" w14:textId="77777777" w:rsidTr="00650A8E">
        <w:tc>
          <w:tcPr>
            <w:tcW w:w="10418" w:type="dxa"/>
          </w:tcPr>
          <w:p w14:paraId="10BDC349" w14:textId="77777777" w:rsidR="00834C7C" w:rsidRPr="00F95BA2" w:rsidRDefault="00834C7C" w:rsidP="00131B32">
            <w:pPr>
              <w:jc w:val="both"/>
              <w:rPr>
                <w:rFonts w:ascii="Arial" w:hAnsi="Arial" w:cs="Arial"/>
                <w:b/>
                <w:u w:val="single"/>
              </w:rPr>
            </w:pPr>
            <w:r w:rsidRPr="008D257D">
              <w:rPr>
                <w:rFonts w:ascii="Arial" w:hAnsi="Arial" w:cs="Arial"/>
                <w:b/>
                <w:bCs/>
                <w:u w:val="single"/>
              </w:rPr>
              <w:t>Consultant:</w:t>
            </w:r>
            <w:r w:rsidRPr="008D257D">
              <w:rPr>
                <w:rFonts w:ascii="Arial" w:hAnsi="Arial" w:cs="Arial"/>
                <w:b/>
                <w:u w:val="single"/>
              </w:rPr>
              <w:t xml:space="preserve"> </w:t>
            </w:r>
          </w:p>
          <w:p w14:paraId="5AF983B0" w14:textId="39B7431A" w:rsidR="00834C7C" w:rsidRPr="00F95BA2" w:rsidRDefault="002D4059" w:rsidP="006D7D33">
            <w:pPr>
              <w:pStyle w:val="ListParagraph"/>
              <w:ind w:left="0"/>
              <w:jc w:val="both"/>
              <w:rPr>
                <w:rFonts w:ascii="Arial" w:hAnsi="Arial" w:cs="Arial"/>
                <w:bCs/>
                <w:sz w:val="22"/>
                <w:szCs w:val="22"/>
              </w:rPr>
            </w:pPr>
            <w:r w:rsidRPr="00F95BA2">
              <w:rPr>
                <w:rFonts w:ascii="Arial" w:hAnsi="Arial" w:cs="Arial"/>
                <w:bCs/>
                <w:sz w:val="22"/>
                <w:szCs w:val="22"/>
              </w:rPr>
              <w:t xml:space="preserve">Baseline plasma lipids, </w:t>
            </w:r>
            <w:r w:rsidR="00BE688C" w:rsidRPr="00F95BA2">
              <w:rPr>
                <w:rFonts w:ascii="Arial" w:hAnsi="Arial" w:cs="Arial"/>
                <w:bCs/>
                <w:sz w:val="22"/>
                <w:szCs w:val="22"/>
              </w:rPr>
              <w:t xml:space="preserve">plasma </w:t>
            </w:r>
            <w:r w:rsidRPr="00F95BA2">
              <w:rPr>
                <w:rFonts w:ascii="Arial" w:hAnsi="Arial" w:cs="Arial"/>
                <w:bCs/>
                <w:sz w:val="22"/>
                <w:szCs w:val="22"/>
              </w:rPr>
              <w:t>glucose</w:t>
            </w:r>
            <w:r w:rsidR="00AE5643" w:rsidRPr="00F95BA2">
              <w:rPr>
                <w:rFonts w:ascii="Arial" w:hAnsi="Arial" w:cs="Arial"/>
                <w:bCs/>
                <w:sz w:val="22"/>
                <w:szCs w:val="22"/>
              </w:rPr>
              <w:t>, weight/BMI</w:t>
            </w:r>
            <w:r w:rsidR="004B122C" w:rsidRPr="00F95BA2">
              <w:rPr>
                <w:rFonts w:ascii="Arial" w:hAnsi="Arial" w:cs="Arial"/>
                <w:bCs/>
                <w:sz w:val="22"/>
                <w:szCs w:val="22"/>
              </w:rPr>
              <w:t xml:space="preserve">, U&amp;Es, FBC, LFTs, </w:t>
            </w:r>
            <w:r w:rsidR="00863138">
              <w:rPr>
                <w:rFonts w:ascii="Arial" w:hAnsi="Arial" w:cs="Arial"/>
                <w:bCs/>
                <w:sz w:val="22"/>
                <w:szCs w:val="22"/>
              </w:rPr>
              <w:t xml:space="preserve">BP, </w:t>
            </w:r>
            <w:r w:rsidR="004B122C" w:rsidRPr="00F95BA2">
              <w:rPr>
                <w:rFonts w:ascii="Arial" w:hAnsi="Arial" w:cs="Arial"/>
                <w:bCs/>
                <w:sz w:val="22"/>
                <w:szCs w:val="22"/>
              </w:rPr>
              <w:t>CPK</w:t>
            </w:r>
            <w:r w:rsidRPr="00F95BA2">
              <w:rPr>
                <w:rFonts w:ascii="Arial" w:hAnsi="Arial" w:cs="Arial"/>
                <w:bCs/>
                <w:sz w:val="22"/>
                <w:szCs w:val="22"/>
              </w:rPr>
              <w:t xml:space="preserve"> and ECG</w:t>
            </w:r>
          </w:p>
          <w:p w14:paraId="313DCB4F" w14:textId="77777777" w:rsidR="00834C7C" w:rsidRPr="00F95BA2" w:rsidRDefault="00834C7C" w:rsidP="006D7D33">
            <w:pPr>
              <w:pStyle w:val="ListParagraph"/>
              <w:ind w:left="0"/>
              <w:jc w:val="both"/>
              <w:rPr>
                <w:rFonts w:ascii="Arial" w:hAnsi="Arial" w:cs="Arial"/>
                <w:b/>
                <w:bCs/>
                <w:sz w:val="18"/>
                <w:szCs w:val="22"/>
              </w:rPr>
            </w:pPr>
          </w:p>
          <w:p w14:paraId="2AAD5D68" w14:textId="77777777" w:rsidR="00834C7C" w:rsidRPr="00F95BA2" w:rsidRDefault="00834C7C" w:rsidP="00131B32">
            <w:pPr>
              <w:jc w:val="both"/>
              <w:rPr>
                <w:rFonts w:ascii="Arial" w:hAnsi="Arial" w:cs="Arial"/>
                <w:u w:val="single"/>
              </w:rPr>
            </w:pPr>
            <w:r w:rsidRPr="00F95BA2">
              <w:rPr>
                <w:rFonts w:ascii="Arial" w:hAnsi="Arial" w:cs="Arial"/>
                <w:b/>
                <w:bCs/>
                <w:u w:val="single"/>
              </w:rPr>
              <w:t>GP:</w:t>
            </w:r>
            <w:r w:rsidRPr="00F95BA2">
              <w:rPr>
                <w:rFonts w:ascii="Arial" w:hAnsi="Arial" w:cs="Arial"/>
                <w:u w:val="single"/>
              </w:rPr>
              <w:t xml:space="preserve"> </w:t>
            </w:r>
          </w:p>
          <w:p w14:paraId="57E5321A" w14:textId="01729C2F" w:rsidR="00834C7C" w:rsidRPr="00F95BA2" w:rsidRDefault="002D4059" w:rsidP="006D7D33">
            <w:pPr>
              <w:pStyle w:val="ListParagraph"/>
              <w:ind w:left="0"/>
              <w:jc w:val="both"/>
              <w:rPr>
                <w:rFonts w:ascii="Arial" w:hAnsi="Arial" w:cs="Arial"/>
                <w:bCs/>
                <w:sz w:val="22"/>
                <w:szCs w:val="22"/>
              </w:rPr>
            </w:pPr>
            <w:r w:rsidRPr="00F95BA2">
              <w:rPr>
                <w:rFonts w:ascii="Arial" w:hAnsi="Arial" w:cs="Arial"/>
                <w:bCs/>
                <w:sz w:val="22"/>
                <w:szCs w:val="22"/>
              </w:rPr>
              <w:t xml:space="preserve">Annual plasma lipids, </w:t>
            </w:r>
            <w:r w:rsidR="00BE688C" w:rsidRPr="00F95BA2">
              <w:rPr>
                <w:rFonts w:ascii="Arial" w:hAnsi="Arial" w:cs="Arial"/>
                <w:bCs/>
                <w:sz w:val="22"/>
                <w:szCs w:val="22"/>
              </w:rPr>
              <w:t xml:space="preserve">plasma </w:t>
            </w:r>
            <w:r w:rsidRPr="00F95BA2">
              <w:rPr>
                <w:rFonts w:ascii="Arial" w:hAnsi="Arial" w:cs="Arial"/>
                <w:bCs/>
                <w:sz w:val="22"/>
                <w:szCs w:val="22"/>
              </w:rPr>
              <w:t>glucose</w:t>
            </w:r>
            <w:r w:rsidR="00AE5643" w:rsidRPr="00F95BA2">
              <w:rPr>
                <w:rFonts w:ascii="Arial" w:hAnsi="Arial" w:cs="Arial"/>
                <w:bCs/>
                <w:sz w:val="22"/>
                <w:szCs w:val="22"/>
              </w:rPr>
              <w:t>, weight/BMI</w:t>
            </w:r>
            <w:r w:rsidR="004B122C" w:rsidRPr="00F95BA2">
              <w:rPr>
                <w:rFonts w:ascii="Arial" w:hAnsi="Arial" w:cs="Arial"/>
                <w:bCs/>
                <w:sz w:val="22"/>
                <w:szCs w:val="22"/>
              </w:rPr>
              <w:t>, U&amp;Es, FBC, LFTs</w:t>
            </w:r>
            <w:r w:rsidRPr="00F95BA2">
              <w:rPr>
                <w:rFonts w:ascii="Arial" w:hAnsi="Arial" w:cs="Arial"/>
                <w:bCs/>
                <w:sz w:val="22"/>
                <w:szCs w:val="22"/>
              </w:rPr>
              <w:t xml:space="preserve"> and </w:t>
            </w:r>
            <w:r w:rsidR="00863138">
              <w:rPr>
                <w:rFonts w:ascii="Arial" w:hAnsi="Arial" w:cs="Arial"/>
                <w:bCs/>
                <w:sz w:val="22"/>
                <w:szCs w:val="22"/>
              </w:rPr>
              <w:t xml:space="preserve">BP, </w:t>
            </w:r>
            <w:r w:rsidR="00692969" w:rsidRPr="00F95BA2">
              <w:rPr>
                <w:rFonts w:ascii="Arial" w:hAnsi="Arial" w:cs="Arial"/>
                <w:bCs/>
                <w:sz w:val="22"/>
                <w:szCs w:val="22"/>
              </w:rPr>
              <w:t>ECG</w:t>
            </w:r>
            <w:r w:rsidR="001F7726" w:rsidRPr="00F95BA2">
              <w:rPr>
                <w:rFonts w:ascii="Arial" w:hAnsi="Arial" w:cs="Arial"/>
                <w:bCs/>
                <w:sz w:val="22"/>
                <w:szCs w:val="22"/>
              </w:rPr>
              <w:t xml:space="preserve"> </w:t>
            </w:r>
          </w:p>
          <w:p w14:paraId="0EBFE8B0" w14:textId="77777777" w:rsidR="0004116F" w:rsidRPr="008D257D" w:rsidRDefault="0004116F" w:rsidP="006D7D33">
            <w:pPr>
              <w:pStyle w:val="ListParagraph"/>
              <w:ind w:left="0"/>
              <w:jc w:val="both"/>
              <w:rPr>
                <w:rFonts w:ascii="Arial" w:hAnsi="Arial" w:cs="Arial"/>
                <w:bCs/>
                <w:sz w:val="16"/>
                <w:szCs w:val="22"/>
              </w:rPr>
            </w:pPr>
          </w:p>
          <w:p w14:paraId="734E6839" w14:textId="26E2DFE2" w:rsidR="00834C7C" w:rsidRPr="006E231E" w:rsidRDefault="0004116F" w:rsidP="001E1061">
            <w:pPr>
              <w:autoSpaceDE w:val="0"/>
              <w:autoSpaceDN w:val="0"/>
              <w:adjustRightInd w:val="0"/>
              <w:rPr>
                <w:rFonts w:ascii="Arial" w:hAnsi="Arial" w:cs="Arial"/>
                <w:i/>
              </w:rPr>
            </w:pPr>
            <w:r w:rsidRPr="00C95253">
              <w:rPr>
                <w:rFonts w:ascii="Arial" w:hAnsi="Arial" w:cs="Arial"/>
                <w:b/>
                <w:i/>
              </w:rPr>
              <w:t>Note:</w:t>
            </w:r>
            <w:r w:rsidRPr="008D257D">
              <w:rPr>
                <w:rFonts w:ascii="Arial" w:hAnsi="Arial" w:cs="Arial"/>
                <w:i/>
              </w:rPr>
              <w:t xml:space="preserve"> Aripiprazole is not clearly associated with weight gain, </w:t>
            </w:r>
            <w:proofErr w:type="gramStart"/>
            <w:r w:rsidRPr="008D257D">
              <w:rPr>
                <w:rFonts w:ascii="Arial" w:hAnsi="Arial" w:cs="Arial"/>
                <w:i/>
              </w:rPr>
              <w:t>d</w:t>
            </w:r>
            <w:r w:rsidR="00F95BA2">
              <w:rPr>
                <w:rFonts w:ascii="Arial" w:hAnsi="Arial" w:cs="Arial"/>
                <w:i/>
              </w:rPr>
              <w:t>y</w:t>
            </w:r>
            <w:r w:rsidRPr="008D257D">
              <w:rPr>
                <w:rFonts w:ascii="Arial" w:hAnsi="Arial" w:cs="Arial"/>
                <w:i/>
              </w:rPr>
              <w:t>slipidaemia</w:t>
            </w:r>
            <w:proofErr w:type="gramEnd"/>
            <w:r w:rsidRPr="008D257D">
              <w:rPr>
                <w:rFonts w:ascii="Arial" w:hAnsi="Arial" w:cs="Arial"/>
                <w:i/>
              </w:rPr>
              <w:t xml:space="preserve"> or glucose dysregulation. However, </w:t>
            </w:r>
            <w:r w:rsidR="00D362EE" w:rsidRPr="008D257D">
              <w:rPr>
                <w:rFonts w:ascii="Arial" w:hAnsi="Arial" w:cs="Arial"/>
                <w:i/>
              </w:rPr>
              <w:t>prevalence</w:t>
            </w:r>
            <w:r w:rsidRPr="008D257D">
              <w:rPr>
                <w:rFonts w:ascii="Arial" w:hAnsi="Arial" w:cs="Arial"/>
                <w:i/>
              </w:rPr>
              <w:t xml:space="preserve"> of these is high </w:t>
            </w:r>
            <w:r w:rsidR="00152A3C" w:rsidRPr="00D362EE">
              <w:rPr>
                <w:rFonts w:ascii="Arial" w:hAnsi="Arial" w:cs="Arial"/>
                <w:i/>
              </w:rPr>
              <w:t>in</w:t>
            </w:r>
            <w:r w:rsidR="00152A3C">
              <w:rPr>
                <w:rFonts w:ascii="Arial" w:hAnsi="Arial" w:cs="Arial"/>
                <w:color w:val="FF0000"/>
              </w:rPr>
              <w:t xml:space="preserve"> </w:t>
            </w:r>
            <w:r w:rsidRPr="008D257D">
              <w:rPr>
                <w:rFonts w:ascii="Arial" w:hAnsi="Arial" w:cs="Arial"/>
                <w:i/>
              </w:rPr>
              <w:t xml:space="preserve">this patient group. </w:t>
            </w:r>
            <w:r w:rsidR="001E1061" w:rsidRPr="005C1EB0">
              <w:rPr>
                <w:rFonts w:ascii="Arial" w:hAnsi="Arial" w:cs="Arial"/>
                <w:i/>
              </w:rPr>
              <w:t>Aripiprazole may have a minor effect on cardiac QTc interval.</w:t>
            </w:r>
            <w:r w:rsidRPr="005C1EB0">
              <w:rPr>
                <w:rFonts w:ascii="Arial" w:hAnsi="Arial" w:cs="Arial"/>
                <w:i/>
              </w:rPr>
              <w:t xml:space="preserve"> </w:t>
            </w:r>
            <w:r w:rsidR="0084650C" w:rsidRPr="005C1EB0">
              <w:rPr>
                <w:rFonts w:ascii="Arial" w:hAnsi="Arial" w:cs="Arial"/>
                <w:i/>
              </w:rPr>
              <w:t>However, patients with schizophrenia have a higher risk of sudd</w:t>
            </w:r>
            <w:r w:rsidR="0084650C" w:rsidRPr="006469BB">
              <w:rPr>
                <w:rFonts w:ascii="Arial" w:hAnsi="Arial" w:cs="Arial"/>
                <w:i/>
              </w:rPr>
              <w:t>en cardiac</w:t>
            </w:r>
            <w:r w:rsidR="0084650C">
              <w:rPr>
                <w:rFonts w:ascii="Arial" w:hAnsi="Arial" w:cs="Arial"/>
                <w:i/>
              </w:rPr>
              <w:t xml:space="preserve"> death than general population. </w:t>
            </w:r>
            <w:proofErr w:type="gramStart"/>
            <w:r w:rsidR="0084650C">
              <w:rPr>
                <w:rFonts w:ascii="Arial" w:hAnsi="Arial" w:cs="Arial"/>
                <w:i/>
              </w:rPr>
              <w:t>T</w:t>
            </w:r>
            <w:r w:rsidR="0084650C" w:rsidRPr="006469BB">
              <w:rPr>
                <w:rFonts w:ascii="Arial" w:hAnsi="Arial" w:cs="Arial"/>
                <w:i/>
              </w:rPr>
              <w:t>hus</w:t>
            </w:r>
            <w:proofErr w:type="gramEnd"/>
            <w:r w:rsidR="0084650C" w:rsidRPr="006469BB">
              <w:rPr>
                <w:rFonts w:ascii="Arial" w:hAnsi="Arial" w:cs="Arial"/>
                <w:i/>
              </w:rPr>
              <w:t xml:space="preserve"> the recommendation for annual ECG.</w:t>
            </w:r>
          </w:p>
        </w:tc>
      </w:tr>
      <w:tr w:rsidR="00834C7C" w:rsidRPr="00387F17" w14:paraId="527A4737" w14:textId="77777777" w:rsidTr="00650A8E">
        <w:tc>
          <w:tcPr>
            <w:tcW w:w="10418" w:type="dxa"/>
            <w:shd w:val="clear" w:color="auto" w:fill="3366FF"/>
          </w:tcPr>
          <w:p w14:paraId="26F6507B" w14:textId="77777777" w:rsidR="00834C7C" w:rsidRPr="00387F17" w:rsidRDefault="00834C7C" w:rsidP="00131B32">
            <w:pPr>
              <w:rPr>
                <w:rFonts w:ascii="Arial" w:hAnsi="Arial" w:cs="Arial"/>
                <w:color w:val="FFFFFF"/>
                <w:sz w:val="24"/>
                <w:szCs w:val="24"/>
              </w:rPr>
            </w:pPr>
            <w:r w:rsidRPr="00387F17">
              <w:rPr>
                <w:rFonts w:ascii="Arial" w:hAnsi="Arial" w:cs="Arial"/>
                <w:b/>
                <w:bCs/>
                <w:color w:val="FFFFFF"/>
                <w:sz w:val="24"/>
                <w:szCs w:val="24"/>
              </w:rPr>
              <w:lastRenderedPageBreak/>
              <w:t>Follow up arrangements</w:t>
            </w:r>
          </w:p>
        </w:tc>
      </w:tr>
      <w:tr w:rsidR="00834C7C" w:rsidRPr="00387F17" w14:paraId="579729A7" w14:textId="77777777" w:rsidTr="00650A8E">
        <w:tc>
          <w:tcPr>
            <w:tcW w:w="10418" w:type="dxa"/>
            <w:tcBorders>
              <w:bottom w:val="single" w:sz="12" w:space="0" w:color="auto"/>
            </w:tcBorders>
          </w:tcPr>
          <w:p w14:paraId="380ADC3A" w14:textId="631852FF" w:rsidR="008A5809" w:rsidRPr="00536948" w:rsidRDefault="00FE0D34" w:rsidP="008A5809">
            <w:pPr>
              <w:pStyle w:val="ListParagraph"/>
              <w:numPr>
                <w:ilvl w:val="0"/>
                <w:numId w:val="33"/>
              </w:numPr>
              <w:rPr>
                <w:rFonts w:ascii="Arial" w:hAnsi="Arial" w:cs="Arial"/>
                <w:sz w:val="22"/>
              </w:rPr>
            </w:pPr>
            <w:r w:rsidRPr="00536948">
              <w:rPr>
                <w:rFonts w:ascii="Arial" w:hAnsi="Arial" w:cs="Arial"/>
                <w:sz w:val="22"/>
              </w:rPr>
              <w:t xml:space="preserve">The patient should </w:t>
            </w:r>
            <w:r w:rsidR="000F7F92" w:rsidRPr="00536948">
              <w:rPr>
                <w:rFonts w:ascii="Arial" w:hAnsi="Arial" w:cs="Arial"/>
                <w:sz w:val="22"/>
              </w:rPr>
              <w:t xml:space="preserve">be seen by the </w:t>
            </w:r>
            <w:r w:rsidR="00095046" w:rsidRPr="00474929">
              <w:rPr>
                <w:rFonts w:ascii="Arial" w:hAnsi="Arial" w:cs="Arial"/>
                <w:sz w:val="22"/>
                <w:szCs w:val="22"/>
              </w:rPr>
              <w:t xml:space="preserve">specialist </w:t>
            </w:r>
            <w:r w:rsidR="00095046">
              <w:rPr>
                <w:rFonts w:ascii="Arial" w:hAnsi="Arial" w:cs="Arial"/>
                <w:sz w:val="22"/>
                <w:szCs w:val="22"/>
              </w:rPr>
              <w:t>psychiatric</w:t>
            </w:r>
            <w:r w:rsidR="00095046" w:rsidRPr="00474929">
              <w:rPr>
                <w:rFonts w:ascii="Arial" w:hAnsi="Arial" w:cs="Arial"/>
                <w:sz w:val="22"/>
                <w:szCs w:val="22"/>
              </w:rPr>
              <w:t xml:space="preserve"> team </w:t>
            </w:r>
            <w:r w:rsidRPr="00536948">
              <w:rPr>
                <w:rFonts w:ascii="Arial" w:hAnsi="Arial" w:cs="Arial"/>
                <w:sz w:val="22"/>
              </w:rPr>
              <w:t>at least once a year.</w:t>
            </w:r>
            <w:r w:rsidR="00754F4F" w:rsidRPr="00536948">
              <w:rPr>
                <w:rFonts w:ascii="Arial" w:hAnsi="Arial" w:cs="Arial"/>
                <w:sz w:val="22"/>
              </w:rPr>
              <w:t xml:space="preserve"> </w:t>
            </w:r>
          </w:p>
          <w:p w14:paraId="13AF6F58" w14:textId="77777777" w:rsidR="008A5809" w:rsidRPr="00536948" w:rsidRDefault="00A90548" w:rsidP="008A5809">
            <w:pPr>
              <w:pStyle w:val="ListParagraph"/>
              <w:numPr>
                <w:ilvl w:val="0"/>
                <w:numId w:val="33"/>
              </w:numPr>
              <w:rPr>
                <w:rFonts w:ascii="Arial" w:hAnsi="Arial" w:cs="Arial"/>
                <w:sz w:val="22"/>
              </w:rPr>
            </w:pPr>
            <w:r w:rsidRPr="00536948">
              <w:rPr>
                <w:rFonts w:ascii="Arial" w:hAnsi="Arial" w:cs="Arial"/>
                <w:sz w:val="22"/>
              </w:rPr>
              <w:t xml:space="preserve">Where there are local CCG </w:t>
            </w:r>
            <w:r w:rsidR="00A051DA" w:rsidRPr="00536948">
              <w:rPr>
                <w:rFonts w:ascii="Arial" w:hAnsi="Arial" w:cs="Arial"/>
                <w:sz w:val="22"/>
              </w:rPr>
              <w:t xml:space="preserve">commissioned </w:t>
            </w:r>
            <w:r w:rsidR="005E5223" w:rsidRPr="00536948">
              <w:rPr>
                <w:rFonts w:ascii="Arial" w:hAnsi="Arial" w:cs="Arial"/>
                <w:sz w:val="22"/>
              </w:rPr>
              <w:t xml:space="preserve">mental health in </w:t>
            </w:r>
            <w:r w:rsidR="00A051DA" w:rsidRPr="00536948">
              <w:rPr>
                <w:rFonts w:ascii="Arial" w:hAnsi="Arial" w:cs="Arial"/>
                <w:sz w:val="22"/>
              </w:rPr>
              <w:t>primary care servic</w:t>
            </w:r>
            <w:r w:rsidR="00E24125" w:rsidRPr="00536948">
              <w:rPr>
                <w:rFonts w:ascii="Arial" w:hAnsi="Arial" w:cs="Arial"/>
                <w:sz w:val="22"/>
              </w:rPr>
              <w:t>es in place and there is agreement,</w:t>
            </w:r>
            <w:r w:rsidR="00A051DA" w:rsidRPr="00536948">
              <w:rPr>
                <w:rFonts w:ascii="Arial" w:hAnsi="Arial" w:cs="Arial"/>
                <w:sz w:val="22"/>
              </w:rPr>
              <w:t xml:space="preserve"> the annual review may be carried out by the </w:t>
            </w:r>
            <w:r w:rsidR="00E24125" w:rsidRPr="00536948">
              <w:rPr>
                <w:rFonts w:ascii="Arial" w:hAnsi="Arial" w:cs="Arial"/>
                <w:sz w:val="22"/>
              </w:rPr>
              <w:t xml:space="preserve">primary care </w:t>
            </w:r>
            <w:r w:rsidR="00A051DA" w:rsidRPr="00536948">
              <w:rPr>
                <w:rFonts w:ascii="Arial" w:hAnsi="Arial" w:cs="Arial"/>
                <w:sz w:val="22"/>
              </w:rPr>
              <w:t>service.</w:t>
            </w:r>
            <w:r w:rsidR="00653C21" w:rsidRPr="00536948">
              <w:rPr>
                <w:rFonts w:ascii="Arial" w:hAnsi="Arial" w:cs="Arial"/>
                <w:sz w:val="22"/>
              </w:rPr>
              <w:t xml:space="preserve"> </w:t>
            </w:r>
          </w:p>
          <w:p w14:paraId="4C4F4761" w14:textId="04744C0D" w:rsidR="008A5809" w:rsidRPr="00536948" w:rsidRDefault="00653C21" w:rsidP="008A5809">
            <w:pPr>
              <w:pStyle w:val="ListParagraph"/>
              <w:numPr>
                <w:ilvl w:val="0"/>
                <w:numId w:val="33"/>
              </w:numPr>
              <w:rPr>
                <w:rFonts w:ascii="Arial" w:hAnsi="Arial" w:cs="Arial"/>
                <w:sz w:val="22"/>
              </w:rPr>
            </w:pPr>
            <w:r w:rsidRPr="00536948">
              <w:rPr>
                <w:rFonts w:ascii="Arial" w:hAnsi="Arial" w:cs="Arial"/>
                <w:sz w:val="22"/>
              </w:rPr>
              <w:t xml:space="preserve">In addition, the </w:t>
            </w:r>
            <w:r w:rsidR="00FE0D34" w:rsidRPr="00536948">
              <w:rPr>
                <w:rFonts w:ascii="Arial" w:hAnsi="Arial" w:cs="Arial"/>
                <w:sz w:val="22"/>
              </w:rPr>
              <w:t xml:space="preserve">patient may be referred for a review </w:t>
            </w:r>
            <w:r w:rsidR="00F77E59" w:rsidRPr="00536948">
              <w:rPr>
                <w:rFonts w:ascii="Arial" w:hAnsi="Arial" w:cs="Arial"/>
                <w:sz w:val="22"/>
              </w:rPr>
              <w:t xml:space="preserve">by the </w:t>
            </w:r>
            <w:r w:rsidR="00095046" w:rsidRPr="00474929">
              <w:rPr>
                <w:rFonts w:ascii="Arial" w:hAnsi="Arial" w:cs="Arial"/>
                <w:sz w:val="22"/>
                <w:szCs w:val="22"/>
              </w:rPr>
              <w:t xml:space="preserve">specialist </w:t>
            </w:r>
            <w:r w:rsidR="00095046">
              <w:rPr>
                <w:rFonts w:ascii="Arial" w:hAnsi="Arial" w:cs="Arial"/>
                <w:sz w:val="22"/>
                <w:szCs w:val="22"/>
              </w:rPr>
              <w:t>psychiatric</w:t>
            </w:r>
            <w:r w:rsidR="00095046" w:rsidRPr="00474929">
              <w:rPr>
                <w:rFonts w:ascii="Arial" w:hAnsi="Arial" w:cs="Arial"/>
                <w:sz w:val="22"/>
                <w:szCs w:val="22"/>
              </w:rPr>
              <w:t xml:space="preserve"> team </w:t>
            </w:r>
            <w:r w:rsidR="00F77E59" w:rsidRPr="00536948">
              <w:rPr>
                <w:rFonts w:ascii="Arial" w:hAnsi="Arial" w:cs="Arial"/>
                <w:sz w:val="22"/>
              </w:rPr>
              <w:t>if there are</w:t>
            </w:r>
            <w:r w:rsidR="00FE0D34" w:rsidRPr="00536948">
              <w:rPr>
                <w:rFonts w:ascii="Arial" w:hAnsi="Arial" w:cs="Arial"/>
                <w:sz w:val="22"/>
              </w:rPr>
              <w:t xml:space="preserve"> concerns about the patient’s mental state or th</w:t>
            </w:r>
            <w:r w:rsidR="00FA03F3">
              <w:rPr>
                <w:rFonts w:ascii="Arial" w:hAnsi="Arial" w:cs="Arial"/>
                <w:sz w:val="22"/>
              </w:rPr>
              <w:t>eir long-acting injection</w:t>
            </w:r>
            <w:r w:rsidR="00FE0D34" w:rsidRPr="00536948">
              <w:rPr>
                <w:rFonts w:ascii="Arial" w:hAnsi="Arial" w:cs="Arial"/>
                <w:sz w:val="22"/>
              </w:rPr>
              <w:t xml:space="preserve"> treatment. </w:t>
            </w:r>
          </w:p>
          <w:p w14:paraId="187227DC" w14:textId="77777777" w:rsidR="00834C7C" w:rsidRPr="00536948" w:rsidRDefault="00653C21" w:rsidP="008A5809">
            <w:pPr>
              <w:pStyle w:val="ListParagraph"/>
              <w:numPr>
                <w:ilvl w:val="0"/>
                <w:numId w:val="33"/>
              </w:numPr>
              <w:rPr>
                <w:rFonts w:ascii="Arial" w:hAnsi="Arial" w:cs="Arial"/>
                <w:sz w:val="22"/>
              </w:rPr>
            </w:pPr>
            <w:r w:rsidRPr="00536948">
              <w:rPr>
                <w:rFonts w:ascii="Arial" w:hAnsi="Arial" w:cs="Arial"/>
                <w:sz w:val="22"/>
              </w:rPr>
              <w:t>The p</w:t>
            </w:r>
            <w:r w:rsidR="00550297" w:rsidRPr="00536948">
              <w:rPr>
                <w:rFonts w:ascii="Arial" w:hAnsi="Arial" w:cs="Arial"/>
                <w:sz w:val="22"/>
              </w:rPr>
              <w:t>atient should be referred to A&amp;E for out of hours specialist psychiatric care</w:t>
            </w:r>
            <w:r w:rsidRPr="00536948">
              <w:rPr>
                <w:rFonts w:ascii="Arial" w:hAnsi="Arial" w:cs="Arial"/>
                <w:sz w:val="22"/>
              </w:rPr>
              <w:t>.</w:t>
            </w:r>
          </w:p>
          <w:p w14:paraId="6E6FF1AB" w14:textId="77777777" w:rsidR="00653C21" w:rsidRPr="00C95253" w:rsidRDefault="00653C21" w:rsidP="00653C21">
            <w:pPr>
              <w:rPr>
                <w:rFonts w:ascii="Arial" w:hAnsi="Arial" w:cs="Arial"/>
                <w:sz w:val="12"/>
                <w:szCs w:val="24"/>
              </w:rPr>
            </w:pPr>
          </w:p>
        </w:tc>
      </w:tr>
    </w:tbl>
    <w:p w14:paraId="405CA399" w14:textId="4F7750FC" w:rsidR="00553F94" w:rsidRDefault="00553F94"/>
    <w:tbl>
      <w:tblPr>
        <w:tblW w:w="1041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8"/>
      </w:tblGrid>
      <w:tr w:rsidR="00834C7C" w:rsidRPr="00387F17" w14:paraId="75516680" w14:textId="77777777" w:rsidTr="00650A8E">
        <w:tc>
          <w:tcPr>
            <w:tcW w:w="10418" w:type="dxa"/>
            <w:tcBorders>
              <w:top w:val="single" w:sz="12" w:space="0" w:color="auto"/>
            </w:tcBorders>
            <w:shd w:val="clear" w:color="auto" w:fill="3366FF"/>
          </w:tcPr>
          <w:p w14:paraId="3CFCE94B" w14:textId="77777777" w:rsidR="00834C7C" w:rsidRPr="00387F17" w:rsidRDefault="00834C7C" w:rsidP="004B4825">
            <w:pPr>
              <w:rPr>
                <w:rFonts w:ascii="Arial" w:hAnsi="Arial" w:cs="Arial"/>
                <w:b/>
                <w:bCs/>
                <w:color w:val="FFFFFF"/>
                <w:sz w:val="24"/>
                <w:szCs w:val="24"/>
              </w:rPr>
            </w:pPr>
            <w:r w:rsidRPr="00387F17">
              <w:rPr>
                <w:rFonts w:ascii="Arial" w:hAnsi="Arial" w:cs="Arial"/>
                <w:b/>
                <w:bCs/>
                <w:color w:val="FFFFFF"/>
                <w:sz w:val="24"/>
                <w:szCs w:val="24"/>
              </w:rPr>
              <w:t>Practical issues including other relevant advice/information</w:t>
            </w:r>
          </w:p>
          <w:p w14:paraId="4D8EAB60" w14:textId="77777777" w:rsidR="00834C7C" w:rsidRPr="00387F17" w:rsidRDefault="00834C7C" w:rsidP="004B4825">
            <w:pPr>
              <w:ind w:left="35"/>
              <w:rPr>
                <w:rFonts w:ascii="Arial" w:hAnsi="Arial" w:cs="Arial"/>
                <w:sz w:val="24"/>
                <w:szCs w:val="24"/>
              </w:rPr>
            </w:pPr>
            <w:r w:rsidRPr="00387F17">
              <w:rPr>
                <w:rFonts w:ascii="Arial" w:hAnsi="Arial" w:cs="Arial"/>
                <w:b/>
                <w:bCs/>
                <w:color w:val="FFFFFF"/>
                <w:sz w:val="24"/>
                <w:szCs w:val="24"/>
              </w:rPr>
              <w:t xml:space="preserve">Reminder: this list is not exhaustive - for full details of adverse effects and all potential drug interactions refer to latest Summary of Product Characteristics (SPC) for the drug, available </w:t>
            </w:r>
            <w:r w:rsidRPr="00650A8E">
              <w:rPr>
                <w:rFonts w:ascii="Arial" w:hAnsi="Arial" w:cs="Arial"/>
                <w:b/>
                <w:bCs/>
                <w:color w:val="FFFFFF" w:themeColor="background1"/>
                <w:sz w:val="24"/>
                <w:szCs w:val="24"/>
              </w:rPr>
              <w:t xml:space="preserve">via </w:t>
            </w:r>
            <w:hyperlink r:id="rId18" w:history="1">
              <w:r w:rsidR="00650A8E" w:rsidRPr="00650A8E">
                <w:rPr>
                  <w:rStyle w:val="Hyperlink"/>
                  <w:rFonts w:ascii="Arial" w:hAnsi="Arial" w:cs="Arial"/>
                  <w:b/>
                  <w:bCs/>
                  <w:color w:val="FFFFFF" w:themeColor="background1"/>
                  <w:sz w:val="24"/>
                  <w:szCs w:val="24"/>
                </w:rPr>
                <w:t>www.medicines.org.uk</w:t>
              </w:r>
            </w:hyperlink>
            <w:r w:rsidR="00650A8E">
              <w:rPr>
                <w:rFonts w:ascii="Arial" w:hAnsi="Arial" w:cs="Arial"/>
                <w:b/>
                <w:bCs/>
                <w:color w:val="FFFFFF"/>
                <w:sz w:val="24"/>
                <w:szCs w:val="24"/>
              </w:rPr>
              <w:t>.</w:t>
            </w:r>
          </w:p>
        </w:tc>
      </w:tr>
      <w:tr w:rsidR="00834C7C" w:rsidRPr="00387F17" w14:paraId="40A1ABEC" w14:textId="77777777" w:rsidTr="00650A8E">
        <w:tc>
          <w:tcPr>
            <w:tcW w:w="10418" w:type="dxa"/>
            <w:tcBorders>
              <w:bottom w:val="single" w:sz="12" w:space="0" w:color="auto"/>
            </w:tcBorders>
          </w:tcPr>
          <w:p w14:paraId="4ED63A87" w14:textId="77777777" w:rsidR="00151D77" w:rsidRPr="0011162F" w:rsidRDefault="00151D77" w:rsidP="00151D77">
            <w:pPr>
              <w:ind w:left="720"/>
              <w:rPr>
                <w:rFonts w:ascii="Arial" w:hAnsi="Arial" w:cs="Arial"/>
                <w:color w:val="FF0000"/>
                <w:sz w:val="12"/>
              </w:rPr>
            </w:pPr>
          </w:p>
          <w:p w14:paraId="664742E1" w14:textId="481C4571" w:rsidR="00BD719D" w:rsidRPr="00BD719D" w:rsidRDefault="00BD719D" w:rsidP="00BD719D">
            <w:pPr>
              <w:numPr>
                <w:ilvl w:val="0"/>
                <w:numId w:val="29"/>
              </w:numPr>
              <w:jc w:val="both"/>
              <w:rPr>
                <w:rFonts w:ascii="Arial" w:hAnsi="Arial" w:cs="Arial"/>
              </w:rPr>
            </w:pPr>
            <w:r w:rsidRPr="00BD719D">
              <w:rPr>
                <w:rFonts w:ascii="Arial" w:hAnsi="Arial" w:cs="Arial"/>
              </w:rPr>
              <w:t xml:space="preserve">Aripiprazole </w:t>
            </w:r>
            <w:r w:rsidR="00FA03F3">
              <w:rPr>
                <w:rFonts w:ascii="Arial" w:hAnsi="Arial" w:cs="Arial"/>
              </w:rPr>
              <w:t>long-acting</w:t>
            </w:r>
            <w:r w:rsidRPr="00BD719D">
              <w:rPr>
                <w:rFonts w:ascii="Arial" w:hAnsi="Arial" w:cs="Arial"/>
              </w:rPr>
              <w:t xml:space="preserve"> injection is not recommended for patients taking concomitant CYP3A4 inducers (e.g., carbamazepine). See </w:t>
            </w:r>
            <w:hyperlink r:id="rId19" w:history="1">
              <w:r w:rsidRPr="00F95BA2">
                <w:rPr>
                  <w:rStyle w:val="Hyperlink"/>
                  <w:rFonts w:ascii="Arial" w:hAnsi="Arial" w:cs="Arial"/>
                </w:rPr>
                <w:t>SPC</w:t>
              </w:r>
            </w:hyperlink>
            <w:r w:rsidRPr="00F95BA2">
              <w:rPr>
                <w:rStyle w:val="Hyperlink"/>
                <w:rFonts w:ascii="Arial" w:hAnsi="Arial" w:cs="Arial"/>
              </w:rPr>
              <w:t xml:space="preserve"> </w:t>
            </w:r>
            <w:r w:rsidRPr="00F95BA2">
              <w:rPr>
                <w:rStyle w:val="Hyperlink"/>
                <w:rFonts w:ascii="Arial" w:hAnsi="Arial" w:cs="Arial"/>
                <w:color w:val="auto"/>
                <w:u w:val="none"/>
              </w:rPr>
              <w:t>for further details or contact medicines information</w:t>
            </w:r>
            <w:r w:rsidRPr="00BD719D">
              <w:rPr>
                <w:rFonts w:ascii="Arial" w:hAnsi="Arial" w:cs="Arial"/>
              </w:rPr>
              <w:t xml:space="preserve">.  </w:t>
            </w:r>
          </w:p>
          <w:p w14:paraId="350CC905" w14:textId="3FFBCA13" w:rsidR="00151D77" w:rsidRPr="0011162F" w:rsidRDefault="00151D77" w:rsidP="006813BA">
            <w:pPr>
              <w:numPr>
                <w:ilvl w:val="0"/>
                <w:numId w:val="29"/>
              </w:numPr>
              <w:ind w:right="125"/>
              <w:jc w:val="both"/>
              <w:rPr>
                <w:rFonts w:ascii="Arial" w:hAnsi="Arial" w:cs="Arial"/>
              </w:rPr>
            </w:pPr>
            <w:r w:rsidRPr="0011162F">
              <w:rPr>
                <w:rFonts w:ascii="Arial" w:hAnsi="Arial" w:cs="Arial"/>
              </w:rPr>
              <w:t xml:space="preserve">The safety and efficacy of </w:t>
            </w:r>
            <w:r w:rsidR="00892B6C" w:rsidRPr="0011162F">
              <w:rPr>
                <w:rFonts w:ascii="Arial" w:hAnsi="Arial" w:cs="Arial"/>
              </w:rPr>
              <w:t xml:space="preserve">aripiprazole </w:t>
            </w:r>
            <w:r w:rsidR="00FA03F3">
              <w:rPr>
                <w:rFonts w:ascii="Arial" w:hAnsi="Arial" w:cs="Arial"/>
              </w:rPr>
              <w:t>long-acting</w:t>
            </w:r>
            <w:r w:rsidR="00892B6C" w:rsidRPr="0011162F">
              <w:rPr>
                <w:rFonts w:ascii="Arial" w:hAnsi="Arial" w:cs="Arial"/>
              </w:rPr>
              <w:t xml:space="preserve"> injection</w:t>
            </w:r>
            <w:r w:rsidRPr="0011162F">
              <w:rPr>
                <w:rFonts w:ascii="Arial" w:hAnsi="Arial" w:cs="Arial"/>
              </w:rPr>
              <w:t xml:space="preserve"> has not yet been established in children, </w:t>
            </w:r>
            <w:proofErr w:type="gramStart"/>
            <w:r w:rsidRPr="0011162F">
              <w:rPr>
                <w:rFonts w:ascii="Arial" w:hAnsi="Arial" w:cs="Arial"/>
              </w:rPr>
              <w:t>adolescents</w:t>
            </w:r>
            <w:proofErr w:type="gramEnd"/>
            <w:r w:rsidRPr="0011162F">
              <w:rPr>
                <w:rFonts w:ascii="Arial" w:hAnsi="Arial" w:cs="Arial"/>
              </w:rPr>
              <w:t xml:space="preserve"> and older adults</w:t>
            </w:r>
            <w:r w:rsidR="00686E9B" w:rsidRPr="0011162F">
              <w:rPr>
                <w:rFonts w:ascii="Arial" w:hAnsi="Arial" w:cs="Arial"/>
              </w:rPr>
              <w:t xml:space="preserve"> (aged 65 and over)</w:t>
            </w:r>
            <w:r w:rsidRPr="0011162F">
              <w:rPr>
                <w:rFonts w:ascii="Arial" w:hAnsi="Arial" w:cs="Arial"/>
              </w:rPr>
              <w:t xml:space="preserve">. </w:t>
            </w:r>
          </w:p>
          <w:p w14:paraId="4688845B" w14:textId="0B0D03FF" w:rsidR="00AA4E33" w:rsidRPr="00F62D36" w:rsidRDefault="00151D77" w:rsidP="00F62D36">
            <w:pPr>
              <w:numPr>
                <w:ilvl w:val="0"/>
                <w:numId w:val="29"/>
              </w:numPr>
              <w:ind w:right="125"/>
              <w:jc w:val="both"/>
              <w:rPr>
                <w:rFonts w:ascii="Arial" w:hAnsi="Arial" w:cs="Arial"/>
              </w:rPr>
            </w:pPr>
            <w:r w:rsidRPr="0011162F">
              <w:rPr>
                <w:rFonts w:ascii="Arial" w:hAnsi="Arial" w:cs="Arial"/>
              </w:rPr>
              <w:t xml:space="preserve">There are limited data on the safety of aripiprazole in pregnancy and breastfeeding. GPs should contact the medicines information service if pregnancy is </w:t>
            </w:r>
            <w:r w:rsidR="00674600">
              <w:rPr>
                <w:rFonts w:ascii="Arial" w:hAnsi="Arial" w:cs="Arial"/>
              </w:rPr>
              <w:t xml:space="preserve">planned or </w:t>
            </w:r>
            <w:r w:rsidRPr="0011162F">
              <w:rPr>
                <w:rFonts w:ascii="Arial" w:hAnsi="Arial" w:cs="Arial"/>
              </w:rPr>
              <w:t>suspected.</w:t>
            </w:r>
            <w:r w:rsidR="00774EAE" w:rsidRPr="0011162F">
              <w:rPr>
                <w:rFonts w:ascii="Arial" w:hAnsi="Arial" w:cs="Arial"/>
              </w:rPr>
              <w:t xml:space="preserve"> </w:t>
            </w:r>
          </w:p>
          <w:p w14:paraId="7E4A7218" w14:textId="7B257F18" w:rsidR="00151D77" w:rsidRPr="0011162F" w:rsidRDefault="00151D77" w:rsidP="006813BA">
            <w:pPr>
              <w:numPr>
                <w:ilvl w:val="0"/>
                <w:numId w:val="29"/>
              </w:numPr>
              <w:ind w:right="125"/>
              <w:jc w:val="both"/>
              <w:rPr>
                <w:rFonts w:ascii="Arial" w:hAnsi="Arial" w:cs="Arial"/>
              </w:rPr>
            </w:pPr>
            <w:r w:rsidRPr="0011162F">
              <w:rPr>
                <w:rFonts w:ascii="Arial" w:hAnsi="Arial" w:cs="Arial"/>
              </w:rPr>
              <w:t xml:space="preserve">Side effects commonly and uncommonly reported at the start of treatment usually wear off within the first few weeks. If side effects persist or emerge contact the </w:t>
            </w:r>
            <w:r w:rsidR="00095046" w:rsidRPr="00474929">
              <w:rPr>
                <w:rFonts w:ascii="Arial" w:hAnsi="Arial" w:cs="Arial"/>
              </w:rPr>
              <w:t xml:space="preserve">specialist </w:t>
            </w:r>
            <w:r w:rsidR="00095046">
              <w:rPr>
                <w:rFonts w:ascii="Arial" w:hAnsi="Arial" w:cs="Arial"/>
              </w:rPr>
              <w:t>psychiatric</w:t>
            </w:r>
            <w:r w:rsidR="00095046" w:rsidRPr="00474929">
              <w:rPr>
                <w:rFonts w:ascii="Arial" w:hAnsi="Arial" w:cs="Arial"/>
              </w:rPr>
              <w:t xml:space="preserve"> team </w:t>
            </w:r>
            <w:r w:rsidRPr="0011162F">
              <w:rPr>
                <w:rFonts w:ascii="Arial" w:hAnsi="Arial" w:cs="Arial"/>
              </w:rPr>
              <w:t>or medicines information.</w:t>
            </w:r>
          </w:p>
          <w:p w14:paraId="3CEA8740" w14:textId="4E313169" w:rsidR="00BD719D" w:rsidRDefault="00BD719D" w:rsidP="00BD719D">
            <w:pPr>
              <w:ind w:right="125"/>
              <w:jc w:val="both"/>
              <w:rPr>
                <w:rFonts w:ascii="Arial" w:hAnsi="Arial" w:cs="Arial"/>
                <w:b/>
              </w:rPr>
            </w:pPr>
            <w:r w:rsidRPr="00BD719D">
              <w:rPr>
                <w:rFonts w:ascii="Arial" w:hAnsi="Arial" w:cs="Arial"/>
                <w:b/>
              </w:rPr>
              <w:t xml:space="preserve">Administration </w:t>
            </w:r>
          </w:p>
          <w:p w14:paraId="0031E315" w14:textId="294F98BB" w:rsidR="00151D77" w:rsidRPr="000D2211" w:rsidRDefault="00282882" w:rsidP="00A41E7A">
            <w:pPr>
              <w:pStyle w:val="ListParagraph"/>
              <w:numPr>
                <w:ilvl w:val="0"/>
                <w:numId w:val="35"/>
              </w:numPr>
              <w:ind w:right="125"/>
              <w:jc w:val="both"/>
              <w:rPr>
                <w:rFonts w:ascii="Arial" w:hAnsi="Arial" w:cs="Arial"/>
                <w:sz w:val="22"/>
                <w:szCs w:val="22"/>
              </w:rPr>
            </w:pPr>
            <w:r w:rsidRPr="000D2211">
              <w:rPr>
                <w:rFonts w:ascii="Arial" w:hAnsi="Arial" w:cs="Arial"/>
                <w:sz w:val="22"/>
                <w:szCs w:val="22"/>
              </w:rPr>
              <w:t xml:space="preserve">The injection is available as a pre-filled syringe </w:t>
            </w:r>
            <w:r w:rsidR="00674600">
              <w:rPr>
                <w:rFonts w:ascii="Arial" w:hAnsi="Arial" w:cs="Arial"/>
                <w:sz w:val="22"/>
                <w:szCs w:val="22"/>
              </w:rPr>
              <w:t xml:space="preserve">(containing a powder and solvent) </w:t>
            </w:r>
            <w:r w:rsidRPr="000D2211">
              <w:rPr>
                <w:rFonts w:ascii="Arial" w:hAnsi="Arial" w:cs="Arial"/>
                <w:sz w:val="22"/>
                <w:szCs w:val="22"/>
              </w:rPr>
              <w:t xml:space="preserve">and as a vial with powder </w:t>
            </w:r>
            <w:r w:rsidR="00674600">
              <w:rPr>
                <w:rFonts w:ascii="Arial" w:hAnsi="Arial" w:cs="Arial"/>
                <w:sz w:val="22"/>
                <w:szCs w:val="22"/>
              </w:rPr>
              <w:t>(</w:t>
            </w:r>
            <w:r w:rsidRPr="000D2211">
              <w:rPr>
                <w:rFonts w:ascii="Arial" w:hAnsi="Arial" w:cs="Arial"/>
                <w:sz w:val="22"/>
                <w:szCs w:val="22"/>
              </w:rPr>
              <w:t>and solvent</w:t>
            </w:r>
            <w:r w:rsidR="00674600">
              <w:rPr>
                <w:rFonts w:ascii="Arial" w:hAnsi="Arial" w:cs="Arial"/>
                <w:sz w:val="22"/>
                <w:szCs w:val="22"/>
              </w:rPr>
              <w:t xml:space="preserve"> for reconstitution)</w:t>
            </w:r>
            <w:r w:rsidRPr="000D2211">
              <w:rPr>
                <w:rFonts w:ascii="Arial" w:hAnsi="Arial" w:cs="Arial"/>
                <w:sz w:val="22"/>
                <w:szCs w:val="22"/>
              </w:rPr>
              <w:t>.</w:t>
            </w:r>
            <w:r w:rsidR="00674600">
              <w:rPr>
                <w:rFonts w:ascii="Arial" w:hAnsi="Arial" w:cs="Arial"/>
                <w:sz w:val="22"/>
                <w:szCs w:val="22"/>
              </w:rPr>
              <w:t xml:space="preserve"> The needles are provided with the vials. </w:t>
            </w:r>
            <w:r w:rsidR="00151D77" w:rsidRPr="000D2211">
              <w:rPr>
                <w:rFonts w:ascii="Arial" w:hAnsi="Arial" w:cs="Arial"/>
                <w:sz w:val="22"/>
                <w:szCs w:val="22"/>
              </w:rPr>
              <w:t xml:space="preserve">For instructions on </w:t>
            </w:r>
            <w:r w:rsidR="00151D77" w:rsidRPr="000D006F">
              <w:rPr>
                <w:rFonts w:ascii="Arial" w:hAnsi="Arial" w:cs="Arial"/>
                <w:sz w:val="22"/>
                <w:szCs w:val="22"/>
              </w:rPr>
              <w:t xml:space="preserve">reconstitution and administration see </w:t>
            </w:r>
            <w:hyperlink r:id="rId20" w:history="1">
              <w:r w:rsidR="00BE688C" w:rsidRPr="000D006F">
                <w:rPr>
                  <w:rStyle w:val="Hyperlink"/>
                  <w:rFonts w:ascii="Arial" w:hAnsi="Arial" w:cs="Arial"/>
                  <w:sz w:val="22"/>
                  <w:szCs w:val="22"/>
                </w:rPr>
                <w:t>SPC</w:t>
              </w:r>
            </w:hyperlink>
            <w:r w:rsidR="00151D77" w:rsidRPr="000D006F">
              <w:rPr>
                <w:rFonts w:ascii="Arial" w:hAnsi="Arial" w:cs="Arial"/>
                <w:sz w:val="22"/>
                <w:szCs w:val="22"/>
              </w:rPr>
              <w:t xml:space="preserve"> </w:t>
            </w:r>
            <w:r w:rsidR="00863138" w:rsidRPr="000D006F">
              <w:rPr>
                <w:rFonts w:ascii="Arial" w:hAnsi="Arial" w:cs="Arial"/>
                <w:sz w:val="22"/>
                <w:szCs w:val="22"/>
              </w:rPr>
              <w:t xml:space="preserve">and the package inserts. </w:t>
            </w:r>
            <w:r w:rsidR="00151D77" w:rsidRPr="000D006F">
              <w:rPr>
                <w:rFonts w:ascii="Arial" w:hAnsi="Arial" w:cs="Arial"/>
                <w:sz w:val="22"/>
                <w:szCs w:val="22"/>
              </w:rPr>
              <w:t xml:space="preserve">There are some specific requirements for </w:t>
            </w:r>
            <w:r w:rsidR="009D0FBD" w:rsidRPr="000D006F">
              <w:rPr>
                <w:rFonts w:ascii="Arial" w:hAnsi="Arial" w:cs="Arial"/>
                <w:sz w:val="22"/>
                <w:szCs w:val="22"/>
              </w:rPr>
              <w:t xml:space="preserve">reconstitution and </w:t>
            </w:r>
            <w:r w:rsidR="00151D77" w:rsidRPr="000D006F">
              <w:rPr>
                <w:rFonts w:ascii="Arial" w:hAnsi="Arial" w:cs="Arial"/>
                <w:sz w:val="22"/>
                <w:szCs w:val="22"/>
              </w:rPr>
              <w:t xml:space="preserve">administration that nursing staff should </w:t>
            </w:r>
            <w:proofErr w:type="spellStart"/>
            <w:r w:rsidR="00151D77" w:rsidRPr="000D006F">
              <w:rPr>
                <w:rFonts w:ascii="Arial" w:hAnsi="Arial" w:cs="Arial"/>
                <w:sz w:val="22"/>
                <w:szCs w:val="22"/>
              </w:rPr>
              <w:t>familiarise</w:t>
            </w:r>
            <w:proofErr w:type="spellEnd"/>
            <w:r w:rsidR="00151D77" w:rsidRPr="000D006F">
              <w:rPr>
                <w:rFonts w:ascii="Arial" w:hAnsi="Arial" w:cs="Arial"/>
                <w:sz w:val="22"/>
                <w:szCs w:val="22"/>
              </w:rPr>
              <w:t xml:space="preserve"> themselves with.</w:t>
            </w:r>
            <w:r w:rsidR="003B6C11" w:rsidRPr="000D006F">
              <w:rPr>
                <w:rFonts w:ascii="Arial" w:hAnsi="Arial" w:cs="Arial"/>
                <w:sz w:val="22"/>
                <w:szCs w:val="22"/>
              </w:rPr>
              <w:t xml:space="preserve">  For doses other than 400mg the vial must be used.</w:t>
            </w:r>
          </w:p>
          <w:p w14:paraId="14E14E29" w14:textId="06B4E096" w:rsidR="00333B28" w:rsidRPr="000D2211" w:rsidRDefault="00333B28" w:rsidP="006813BA">
            <w:pPr>
              <w:numPr>
                <w:ilvl w:val="0"/>
                <w:numId w:val="29"/>
              </w:numPr>
              <w:jc w:val="both"/>
              <w:rPr>
                <w:rFonts w:ascii="Arial" w:hAnsi="Arial" w:cs="Arial"/>
              </w:rPr>
            </w:pPr>
            <w:r w:rsidRPr="000D2211">
              <w:rPr>
                <w:rFonts w:ascii="Arial" w:hAnsi="Arial" w:cs="Arial"/>
              </w:rPr>
              <w:t>The suspension should be injected immediately after reconstitu</w:t>
            </w:r>
            <w:r w:rsidR="006813BA" w:rsidRPr="000D2211">
              <w:rPr>
                <w:rFonts w:ascii="Arial" w:hAnsi="Arial" w:cs="Arial"/>
              </w:rPr>
              <w:t>tion</w:t>
            </w:r>
            <w:r w:rsidRPr="000D2211">
              <w:rPr>
                <w:rFonts w:ascii="Arial" w:hAnsi="Arial" w:cs="Arial"/>
              </w:rPr>
              <w:t>.</w:t>
            </w:r>
          </w:p>
          <w:p w14:paraId="228030D9" w14:textId="77777777" w:rsidR="00151D77" w:rsidRPr="000D2211" w:rsidRDefault="00333B28" w:rsidP="006813BA">
            <w:pPr>
              <w:numPr>
                <w:ilvl w:val="0"/>
                <w:numId w:val="29"/>
              </w:numPr>
              <w:jc w:val="both"/>
              <w:rPr>
                <w:rFonts w:ascii="Arial" w:hAnsi="Arial" w:cs="Arial"/>
              </w:rPr>
            </w:pPr>
            <w:r w:rsidRPr="000D2211">
              <w:rPr>
                <w:rFonts w:ascii="Arial" w:hAnsi="Arial" w:cs="Arial"/>
              </w:rPr>
              <w:t xml:space="preserve">The suspension </w:t>
            </w:r>
            <w:r w:rsidR="004B3C50" w:rsidRPr="000D2211">
              <w:rPr>
                <w:rFonts w:ascii="Arial" w:hAnsi="Arial" w:cs="Arial"/>
              </w:rPr>
              <w:t xml:space="preserve">should be administered slowly as a single injection into either the gluteal or the deltoid muscle. The injection sites should be rotated between the two gluteal or deltoid muscles. </w:t>
            </w:r>
            <w:r w:rsidRPr="000D2211">
              <w:rPr>
                <w:rFonts w:ascii="Arial" w:hAnsi="Arial" w:cs="Arial"/>
              </w:rPr>
              <w:t>Care should be taken to avoid inadvertent injection into a blood vessel.</w:t>
            </w:r>
          </w:p>
          <w:p w14:paraId="2ADEAE49" w14:textId="77777777" w:rsidR="004B3C50" w:rsidRPr="000D2211" w:rsidRDefault="004B3C50" w:rsidP="006813BA">
            <w:pPr>
              <w:numPr>
                <w:ilvl w:val="0"/>
                <w:numId w:val="29"/>
              </w:numPr>
              <w:jc w:val="both"/>
              <w:rPr>
                <w:rFonts w:ascii="Arial" w:hAnsi="Arial" w:cs="Arial"/>
              </w:rPr>
            </w:pPr>
            <w:r w:rsidRPr="000D2211">
              <w:rPr>
                <w:rFonts w:ascii="Arial" w:hAnsi="Arial" w:cs="Arial"/>
              </w:rPr>
              <w:t xml:space="preserve">The recommended needle for gluteal administration is a 38 mm (1.5 inch), </w:t>
            </w:r>
            <w:proofErr w:type="gramStart"/>
            <w:r w:rsidRPr="000D2211">
              <w:rPr>
                <w:rFonts w:ascii="Arial" w:hAnsi="Arial" w:cs="Arial"/>
              </w:rPr>
              <w:t>22 gauge</w:t>
            </w:r>
            <w:proofErr w:type="gramEnd"/>
            <w:r w:rsidRPr="000D2211">
              <w:rPr>
                <w:rFonts w:ascii="Arial" w:hAnsi="Arial" w:cs="Arial"/>
              </w:rPr>
              <w:t xml:space="preserve"> hypodermic safety needle. For obese patients (Body mass index &gt; 28 kg/m</w:t>
            </w:r>
            <w:r w:rsidRPr="000D2211">
              <w:rPr>
                <w:rFonts w:ascii="Arial" w:hAnsi="Arial" w:cs="Arial"/>
                <w:vertAlign w:val="superscript"/>
              </w:rPr>
              <w:t>2</w:t>
            </w:r>
            <w:r w:rsidRPr="000D2211">
              <w:rPr>
                <w:rFonts w:ascii="Arial" w:hAnsi="Arial" w:cs="Arial"/>
              </w:rPr>
              <w:t xml:space="preserve">), a </w:t>
            </w:r>
            <w:r w:rsidR="00320BA5" w:rsidRPr="000D2211">
              <w:rPr>
                <w:rFonts w:ascii="Arial" w:hAnsi="Arial" w:cs="Arial"/>
              </w:rPr>
              <w:t xml:space="preserve">51 mm </w:t>
            </w:r>
            <w:r w:rsidRPr="000D2211">
              <w:rPr>
                <w:rFonts w:ascii="Arial" w:hAnsi="Arial" w:cs="Arial"/>
              </w:rPr>
              <w:t xml:space="preserve">(2 inch), </w:t>
            </w:r>
            <w:proofErr w:type="gramStart"/>
            <w:r w:rsidRPr="000D2211">
              <w:rPr>
                <w:rFonts w:ascii="Arial" w:hAnsi="Arial" w:cs="Arial"/>
              </w:rPr>
              <w:t>21 gauge</w:t>
            </w:r>
            <w:proofErr w:type="gramEnd"/>
            <w:r w:rsidRPr="000D2211">
              <w:rPr>
                <w:rFonts w:ascii="Arial" w:hAnsi="Arial" w:cs="Arial"/>
              </w:rPr>
              <w:t xml:space="preserve"> hypodermic safety needle should be used.</w:t>
            </w:r>
            <w:r w:rsidR="00292198" w:rsidRPr="000D2211">
              <w:rPr>
                <w:rFonts w:ascii="Arial" w:hAnsi="Arial" w:cs="Arial"/>
              </w:rPr>
              <w:t xml:space="preserve"> See </w:t>
            </w:r>
            <w:hyperlink r:id="rId21" w:history="1">
              <w:r w:rsidR="00292198" w:rsidRPr="000D2211">
                <w:rPr>
                  <w:rStyle w:val="Hyperlink"/>
                  <w:rFonts w:ascii="Arial" w:hAnsi="Arial" w:cs="Arial"/>
                </w:rPr>
                <w:t>SPC</w:t>
              </w:r>
            </w:hyperlink>
            <w:r w:rsidR="00292198" w:rsidRPr="000D2211">
              <w:rPr>
                <w:rStyle w:val="Hyperlink"/>
                <w:rFonts w:ascii="Arial" w:hAnsi="Arial" w:cs="Arial"/>
              </w:rPr>
              <w:t xml:space="preserve"> </w:t>
            </w:r>
            <w:r w:rsidR="00292198" w:rsidRPr="000D2211">
              <w:rPr>
                <w:rStyle w:val="Hyperlink"/>
                <w:rFonts w:ascii="Arial" w:hAnsi="Arial" w:cs="Arial"/>
                <w:color w:val="auto"/>
                <w:u w:val="none"/>
              </w:rPr>
              <w:t>for</w:t>
            </w:r>
            <w:r w:rsidR="008E7BBD" w:rsidRPr="000D2211">
              <w:rPr>
                <w:rStyle w:val="Hyperlink"/>
                <w:rFonts w:ascii="Arial" w:hAnsi="Arial" w:cs="Arial"/>
                <w:color w:val="auto"/>
                <w:u w:val="none"/>
              </w:rPr>
              <w:t xml:space="preserve"> </w:t>
            </w:r>
            <w:r w:rsidR="00292198" w:rsidRPr="000D2211">
              <w:rPr>
                <w:rStyle w:val="Hyperlink"/>
                <w:rFonts w:ascii="Arial" w:hAnsi="Arial" w:cs="Arial"/>
                <w:color w:val="auto"/>
                <w:u w:val="none"/>
              </w:rPr>
              <w:t>further details</w:t>
            </w:r>
            <w:r w:rsidR="00292198" w:rsidRPr="000D2211">
              <w:rPr>
                <w:rStyle w:val="Hyperlink"/>
                <w:rFonts w:ascii="Arial" w:hAnsi="Arial" w:cs="Arial"/>
                <w:color w:val="auto"/>
              </w:rPr>
              <w:t xml:space="preserve"> </w:t>
            </w:r>
          </w:p>
          <w:p w14:paraId="3BD0EE14" w14:textId="77777777" w:rsidR="004B3C50" w:rsidRPr="000D2211" w:rsidRDefault="004B3C50" w:rsidP="006813BA">
            <w:pPr>
              <w:numPr>
                <w:ilvl w:val="0"/>
                <w:numId w:val="29"/>
              </w:numPr>
              <w:jc w:val="both"/>
              <w:rPr>
                <w:rFonts w:ascii="Arial" w:hAnsi="Arial" w:cs="Arial"/>
              </w:rPr>
            </w:pPr>
            <w:r w:rsidRPr="000D2211">
              <w:rPr>
                <w:rFonts w:ascii="Arial" w:hAnsi="Arial" w:cs="Arial"/>
              </w:rPr>
              <w:t xml:space="preserve">The recommended needle for deltoid administration is a 25 mm (1 inch), </w:t>
            </w:r>
            <w:proofErr w:type="gramStart"/>
            <w:r w:rsidRPr="000D2211">
              <w:rPr>
                <w:rFonts w:ascii="Arial" w:hAnsi="Arial" w:cs="Arial"/>
              </w:rPr>
              <w:t>23 gauge</w:t>
            </w:r>
            <w:proofErr w:type="gramEnd"/>
            <w:r w:rsidRPr="000D2211">
              <w:rPr>
                <w:rFonts w:ascii="Arial" w:hAnsi="Arial" w:cs="Arial"/>
              </w:rPr>
              <w:t xml:space="preserve"> hypodermic safety needle. For obese patients, a 38 mm (1.5 inch), </w:t>
            </w:r>
            <w:proofErr w:type="gramStart"/>
            <w:r w:rsidRPr="000D2211">
              <w:rPr>
                <w:rFonts w:ascii="Arial" w:hAnsi="Arial" w:cs="Arial"/>
              </w:rPr>
              <w:t>22 gauge</w:t>
            </w:r>
            <w:proofErr w:type="gramEnd"/>
            <w:r w:rsidRPr="000D2211">
              <w:rPr>
                <w:rFonts w:ascii="Arial" w:hAnsi="Arial" w:cs="Arial"/>
              </w:rPr>
              <w:t xml:space="preserve"> hypodermic safety </w:t>
            </w:r>
            <w:r w:rsidR="00292198" w:rsidRPr="000D2211">
              <w:rPr>
                <w:rFonts w:ascii="Arial" w:hAnsi="Arial" w:cs="Arial"/>
              </w:rPr>
              <w:t>needle</w:t>
            </w:r>
            <w:r w:rsidRPr="000D2211">
              <w:rPr>
                <w:rFonts w:ascii="Arial" w:hAnsi="Arial" w:cs="Arial"/>
              </w:rPr>
              <w:t xml:space="preserve"> should be used</w:t>
            </w:r>
            <w:r w:rsidR="00292198" w:rsidRPr="000D2211">
              <w:rPr>
                <w:rFonts w:ascii="Arial" w:hAnsi="Arial" w:cs="Arial"/>
              </w:rPr>
              <w:t xml:space="preserve">. See </w:t>
            </w:r>
            <w:hyperlink r:id="rId22" w:history="1">
              <w:r w:rsidR="00292198" w:rsidRPr="000D2211">
                <w:rPr>
                  <w:rStyle w:val="Hyperlink"/>
                  <w:rFonts w:ascii="Arial" w:hAnsi="Arial" w:cs="Arial"/>
                </w:rPr>
                <w:t>SPC</w:t>
              </w:r>
            </w:hyperlink>
            <w:r w:rsidR="00292198" w:rsidRPr="000D2211">
              <w:rPr>
                <w:rStyle w:val="Hyperlink"/>
                <w:rFonts w:ascii="Arial" w:hAnsi="Arial" w:cs="Arial"/>
                <w:color w:val="auto"/>
              </w:rPr>
              <w:t xml:space="preserve"> </w:t>
            </w:r>
            <w:r w:rsidR="00292198" w:rsidRPr="000D2211">
              <w:rPr>
                <w:rStyle w:val="Hyperlink"/>
                <w:rFonts w:ascii="Arial" w:hAnsi="Arial" w:cs="Arial"/>
                <w:color w:val="auto"/>
                <w:u w:val="none"/>
              </w:rPr>
              <w:t>for</w:t>
            </w:r>
            <w:r w:rsidR="008E7BBD" w:rsidRPr="000D2211">
              <w:rPr>
                <w:rStyle w:val="Hyperlink"/>
                <w:rFonts w:ascii="Arial" w:hAnsi="Arial" w:cs="Arial"/>
                <w:color w:val="auto"/>
                <w:u w:val="none"/>
              </w:rPr>
              <w:t xml:space="preserve"> </w:t>
            </w:r>
            <w:r w:rsidR="00292198" w:rsidRPr="000D2211">
              <w:rPr>
                <w:rStyle w:val="Hyperlink"/>
                <w:rFonts w:ascii="Arial" w:hAnsi="Arial" w:cs="Arial"/>
                <w:color w:val="auto"/>
                <w:u w:val="none"/>
              </w:rPr>
              <w:t>further details</w:t>
            </w:r>
            <w:r w:rsidR="00292198" w:rsidRPr="000D2211">
              <w:rPr>
                <w:rFonts w:ascii="Arial" w:hAnsi="Arial" w:cs="Arial"/>
              </w:rPr>
              <w:t>.</w:t>
            </w:r>
          </w:p>
          <w:p w14:paraId="594A3AA6" w14:textId="47B933EF" w:rsidR="00C95253" w:rsidRDefault="00151D77" w:rsidP="00C95253">
            <w:pPr>
              <w:numPr>
                <w:ilvl w:val="0"/>
                <w:numId w:val="29"/>
              </w:numPr>
              <w:jc w:val="both"/>
              <w:rPr>
                <w:rFonts w:ascii="Arial" w:hAnsi="Arial" w:cs="Arial"/>
              </w:rPr>
            </w:pPr>
            <w:r w:rsidRPr="000D2211">
              <w:rPr>
                <w:rFonts w:ascii="Arial" w:hAnsi="Arial" w:cs="Arial"/>
              </w:rPr>
              <w:t xml:space="preserve">The powder and solvent vials are for </w:t>
            </w:r>
            <w:proofErr w:type="gramStart"/>
            <w:r w:rsidRPr="000D2211">
              <w:rPr>
                <w:rFonts w:ascii="Arial" w:hAnsi="Arial" w:cs="Arial"/>
              </w:rPr>
              <w:t>single-use</w:t>
            </w:r>
            <w:proofErr w:type="gramEnd"/>
            <w:r w:rsidRPr="000D2211">
              <w:rPr>
                <w:rFonts w:ascii="Arial" w:hAnsi="Arial" w:cs="Arial"/>
              </w:rPr>
              <w:t xml:space="preserve"> only.</w:t>
            </w:r>
          </w:p>
          <w:p w14:paraId="270A29A6" w14:textId="77777777" w:rsidR="00674600" w:rsidRDefault="00674600" w:rsidP="00674600">
            <w:pPr>
              <w:ind w:left="360"/>
              <w:jc w:val="both"/>
              <w:rPr>
                <w:rFonts w:ascii="Arial" w:hAnsi="Arial" w:cs="Arial"/>
              </w:rPr>
            </w:pPr>
          </w:p>
          <w:p w14:paraId="4A782895" w14:textId="77777777" w:rsidR="00674600" w:rsidRPr="00674600" w:rsidRDefault="00674600" w:rsidP="00674600">
            <w:pPr>
              <w:ind w:right="125"/>
              <w:jc w:val="both"/>
              <w:rPr>
                <w:rFonts w:ascii="Arial" w:hAnsi="Arial" w:cs="Arial"/>
                <w:b/>
              </w:rPr>
            </w:pPr>
            <w:r w:rsidRPr="00674600">
              <w:rPr>
                <w:rFonts w:ascii="Arial" w:hAnsi="Arial" w:cs="Arial"/>
                <w:b/>
              </w:rPr>
              <w:t>Missed dose</w:t>
            </w:r>
          </w:p>
          <w:p w14:paraId="7EB9C147" w14:textId="513D9AE6" w:rsidR="00674600" w:rsidRPr="000D2211" w:rsidRDefault="00674600" w:rsidP="00674600">
            <w:pPr>
              <w:numPr>
                <w:ilvl w:val="0"/>
                <w:numId w:val="29"/>
              </w:numPr>
              <w:ind w:right="125"/>
              <w:jc w:val="both"/>
              <w:rPr>
                <w:rFonts w:ascii="Arial" w:hAnsi="Arial" w:cs="Arial"/>
              </w:rPr>
            </w:pPr>
            <w:r w:rsidRPr="00F95BA2">
              <w:rPr>
                <w:rFonts w:ascii="Arial" w:hAnsi="Arial" w:cs="Arial"/>
              </w:rPr>
              <w:t xml:space="preserve">Contact medicines information for guidance on administration when a dose is missed. </w:t>
            </w:r>
            <w:r w:rsidR="000D006F">
              <w:rPr>
                <w:rFonts w:ascii="Arial" w:hAnsi="Arial" w:cs="Arial"/>
              </w:rPr>
              <w:t>See page 6 for contact details.</w:t>
            </w:r>
          </w:p>
          <w:p w14:paraId="24CDC277" w14:textId="77777777" w:rsidR="00674600" w:rsidRPr="000D2211" w:rsidRDefault="00674600" w:rsidP="00674600">
            <w:pPr>
              <w:jc w:val="both"/>
              <w:rPr>
                <w:rFonts w:ascii="Arial" w:hAnsi="Arial" w:cs="Arial"/>
              </w:rPr>
            </w:pPr>
          </w:p>
          <w:p w14:paraId="0FB8D3CA" w14:textId="77777777" w:rsidR="00C95253" w:rsidRPr="00650A8E" w:rsidRDefault="00C95253" w:rsidP="00650A8E">
            <w:pPr>
              <w:jc w:val="both"/>
              <w:rPr>
                <w:rFonts w:ascii="Arial" w:hAnsi="Arial" w:cs="Arial"/>
                <w:sz w:val="6"/>
                <w:szCs w:val="24"/>
              </w:rPr>
            </w:pPr>
          </w:p>
        </w:tc>
      </w:tr>
    </w:tbl>
    <w:p w14:paraId="3B83FBA2" w14:textId="51595B87" w:rsidR="000E782D" w:rsidRDefault="000E782D"/>
    <w:p w14:paraId="6C193689" w14:textId="77777777" w:rsidR="000E782D" w:rsidRDefault="000E782D"/>
    <w:tbl>
      <w:tblPr>
        <w:tblW w:w="1041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8"/>
      </w:tblGrid>
      <w:tr w:rsidR="00834C7C" w:rsidRPr="00387F17" w14:paraId="532D1501" w14:textId="77777777" w:rsidTr="00650A8E">
        <w:tc>
          <w:tcPr>
            <w:tcW w:w="10418" w:type="dxa"/>
            <w:tcBorders>
              <w:bottom w:val="single" w:sz="12" w:space="0" w:color="auto"/>
            </w:tcBorders>
            <w:shd w:val="clear" w:color="auto" w:fill="3366FF"/>
          </w:tcPr>
          <w:p w14:paraId="154D57C6" w14:textId="77777777" w:rsidR="00834C7C" w:rsidRPr="00387F17" w:rsidRDefault="00834C7C" w:rsidP="007D6CAB">
            <w:pPr>
              <w:tabs>
                <w:tab w:val="num" w:pos="319"/>
                <w:tab w:val="num" w:pos="360"/>
              </w:tabs>
              <w:ind w:left="319" w:hanging="284"/>
              <w:rPr>
                <w:rFonts w:ascii="Arial" w:hAnsi="Arial" w:cs="Arial"/>
                <w:b/>
                <w:bCs/>
                <w:color w:val="FFFFFF"/>
                <w:sz w:val="24"/>
                <w:szCs w:val="24"/>
              </w:rPr>
            </w:pPr>
            <w:r w:rsidRPr="00387F17">
              <w:rPr>
                <w:rFonts w:ascii="Arial" w:hAnsi="Arial" w:cs="Arial"/>
                <w:b/>
                <w:bCs/>
                <w:color w:val="FFFFFF"/>
                <w:sz w:val="24"/>
                <w:szCs w:val="24"/>
              </w:rPr>
              <w:lastRenderedPageBreak/>
              <w:t>Information provided to the patient</w:t>
            </w:r>
          </w:p>
        </w:tc>
      </w:tr>
      <w:tr w:rsidR="00834C7C" w:rsidRPr="00387F17" w14:paraId="262F4A8B" w14:textId="77777777" w:rsidTr="00650A8E">
        <w:tc>
          <w:tcPr>
            <w:tcW w:w="10418" w:type="dxa"/>
            <w:tcBorders>
              <w:bottom w:val="single" w:sz="12" w:space="0" w:color="auto"/>
            </w:tcBorders>
          </w:tcPr>
          <w:p w14:paraId="038BAB8C" w14:textId="77777777" w:rsidR="006813BA" w:rsidRPr="0011162F" w:rsidRDefault="00FB7007" w:rsidP="006813BA">
            <w:pPr>
              <w:tabs>
                <w:tab w:val="num" w:pos="319"/>
                <w:tab w:val="num" w:pos="360"/>
              </w:tabs>
              <w:rPr>
                <w:rFonts w:ascii="Arial" w:hAnsi="Arial" w:cs="Arial"/>
              </w:rPr>
            </w:pPr>
            <w:r w:rsidRPr="0011162F">
              <w:rPr>
                <w:rFonts w:ascii="Arial" w:hAnsi="Arial" w:cs="Arial"/>
              </w:rPr>
              <w:t>Patients should be asked to contact their GP if:</w:t>
            </w:r>
          </w:p>
          <w:p w14:paraId="2040C7B8" w14:textId="77777777" w:rsidR="00FB7007" w:rsidRPr="0011162F" w:rsidRDefault="00FB7007" w:rsidP="006813BA">
            <w:pPr>
              <w:numPr>
                <w:ilvl w:val="0"/>
                <w:numId w:val="30"/>
              </w:numPr>
              <w:rPr>
                <w:rFonts w:ascii="Arial" w:hAnsi="Arial" w:cs="Arial"/>
              </w:rPr>
            </w:pPr>
            <w:r w:rsidRPr="0011162F">
              <w:rPr>
                <w:rFonts w:ascii="Arial" w:hAnsi="Arial" w:cs="Arial"/>
              </w:rPr>
              <w:t>They have concerns about their medication</w:t>
            </w:r>
          </w:p>
          <w:p w14:paraId="703A979C" w14:textId="77777777" w:rsidR="00834C7C" w:rsidRPr="0011162F" w:rsidRDefault="0005658F" w:rsidP="006813BA">
            <w:pPr>
              <w:numPr>
                <w:ilvl w:val="0"/>
                <w:numId w:val="30"/>
              </w:numPr>
              <w:jc w:val="both"/>
              <w:rPr>
                <w:rFonts w:ascii="Arial" w:hAnsi="Arial" w:cs="Arial"/>
              </w:rPr>
            </w:pPr>
            <w:r w:rsidRPr="0011162F">
              <w:rPr>
                <w:rFonts w:ascii="Arial" w:hAnsi="Arial" w:cs="Arial"/>
              </w:rPr>
              <w:t>They</w:t>
            </w:r>
            <w:r w:rsidR="00FB7007" w:rsidRPr="0011162F">
              <w:rPr>
                <w:rFonts w:ascii="Arial" w:hAnsi="Arial" w:cs="Arial"/>
              </w:rPr>
              <w:t xml:space="preserve"> are considering stopping medication.</w:t>
            </w:r>
          </w:p>
          <w:p w14:paraId="12D73D9A" w14:textId="77777777" w:rsidR="00FB7007" w:rsidRPr="0011162F" w:rsidRDefault="0005658F" w:rsidP="006813BA">
            <w:pPr>
              <w:numPr>
                <w:ilvl w:val="0"/>
                <w:numId w:val="30"/>
              </w:numPr>
              <w:jc w:val="both"/>
              <w:rPr>
                <w:rFonts w:ascii="Arial" w:hAnsi="Arial" w:cs="Arial"/>
              </w:rPr>
            </w:pPr>
            <w:r w:rsidRPr="0011162F">
              <w:rPr>
                <w:rFonts w:ascii="Arial" w:hAnsi="Arial" w:cs="Arial"/>
              </w:rPr>
              <w:t>Are</w:t>
            </w:r>
            <w:r w:rsidR="00FB7007" w:rsidRPr="0011162F">
              <w:rPr>
                <w:rFonts w:ascii="Arial" w:hAnsi="Arial" w:cs="Arial"/>
              </w:rPr>
              <w:t xml:space="preserve"> considering becoming pregnant</w:t>
            </w:r>
          </w:p>
          <w:p w14:paraId="6662EF38" w14:textId="54F00051" w:rsidR="00FB7007" w:rsidRPr="0011162F" w:rsidRDefault="0005658F" w:rsidP="006813BA">
            <w:pPr>
              <w:numPr>
                <w:ilvl w:val="0"/>
                <w:numId w:val="30"/>
              </w:numPr>
              <w:jc w:val="both"/>
              <w:rPr>
                <w:rFonts w:ascii="Arial" w:hAnsi="Arial" w:cs="Arial"/>
              </w:rPr>
            </w:pPr>
            <w:r w:rsidRPr="0011162F">
              <w:rPr>
                <w:rFonts w:ascii="Arial" w:hAnsi="Arial" w:cs="Arial"/>
              </w:rPr>
              <w:t xml:space="preserve">Suspect </w:t>
            </w:r>
            <w:r w:rsidR="00FB7007" w:rsidRPr="0011162F">
              <w:rPr>
                <w:rFonts w:ascii="Arial" w:hAnsi="Arial" w:cs="Arial"/>
              </w:rPr>
              <w:t>they are pregnant</w:t>
            </w:r>
          </w:p>
          <w:p w14:paraId="7C8032F9" w14:textId="77777777" w:rsidR="00FB7007" w:rsidRPr="0011162F" w:rsidRDefault="0005658F" w:rsidP="006813BA">
            <w:pPr>
              <w:numPr>
                <w:ilvl w:val="0"/>
                <w:numId w:val="30"/>
              </w:numPr>
              <w:jc w:val="both"/>
              <w:rPr>
                <w:rFonts w:ascii="Arial" w:hAnsi="Arial" w:cs="Arial"/>
              </w:rPr>
            </w:pPr>
            <w:r w:rsidRPr="0011162F">
              <w:rPr>
                <w:rFonts w:ascii="Arial" w:hAnsi="Arial" w:cs="Arial"/>
              </w:rPr>
              <w:t>W</w:t>
            </w:r>
            <w:r w:rsidR="00FB7007" w:rsidRPr="0011162F">
              <w:rPr>
                <w:rFonts w:ascii="Arial" w:hAnsi="Arial" w:cs="Arial"/>
              </w:rPr>
              <w:t>ish to breastfeed</w:t>
            </w:r>
          </w:p>
          <w:p w14:paraId="5D306F6B" w14:textId="77777777" w:rsidR="00834C7C" w:rsidRPr="00387F17" w:rsidRDefault="00FA6972" w:rsidP="006813BA">
            <w:pPr>
              <w:numPr>
                <w:ilvl w:val="0"/>
                <w:numId w:val="30"/>
              </w:numPr>
              <w:jc w:val="both"/>
              <w:rPr>
                <w:rFonts w:ascii="Arial" w:hAnsi="Arial" w:cs="Arial"/>
                <w:sz w:val="24"/>
                <w:szCs w:val="24"/>
              </w:rPr>
            </w:pPr>
            <w:r w:rsidRPr="0011162F">
              <w:rPr>
                <w:rFonts w:ascii="Arial" w:hAnsi="Arial" w:cs="Arial"/>
              </w:rPr>
              <w:t>Have been prescribed medication by another specialist service, so that drug inter</w:t>
            </w:r>
            <w:r w:rsidR="00C94DFE" w:rsidRPr="0011162F">
              <w:rPr>
                <w:rFonts w:ascii="Arial" w:hAnsi="Arial" w:cs="Arial"/>
              </w:rPr>
              <w:t>ac</w:t>
            </w:r>
            <w:r w:rsidR="006813BA" w:rsidRPr="0011162F">
              <w:rPr>
                <w:rFonts w:ascii="Arial" w:hAnsi="Arial" w:cs="Arial"/>
              </w:rPr>
              <w:t>tions can be checked</w:t>
            </w:r>
          </w:p>
        </w:tc>
      </w:tr>
    </w:tbl>
    <w:p w14:paraId="18095F54" w14:textId="77777777" w:rsidR="00553F94" w:rsidRPr="00BD719D" w:rsidRDefault="00553F94" w:rsidP="00553F94"/>
    <w:p w14:paraId="3A9AEA97" w14:textId="77777777" w:rsidR="00650A8E" w:rsidRPr="00BD719D" w:rsidRDefault="00650A8E" w:rsidP="00650A8E">
      <w:pPr>
        <w:pStyle w:val="Heading1"/>
        <w:numPr>
          <w:ilvl w:val="0"/>
          <w:numId w:val="1"/>
        </w:numPr>
        <w:tabs>
          <w:tab w:val="clear" w:pos="360"/>
          <w:tab w:val="num" w:pos="851"/>
        </w:tabs>
        <w:rPr>
          <w:rFonts w:ascii="Arial" w:hAnsi="Arial" w:cs="Arial"/>
          <w:b/>
          <w:bCs/>
          <w:sz w:val="24"/>
          <w:szCs w:val="24"/>
        </w:rPr>
      </w:pPr>
      <w:r w:rsidRPr="00BD719D">
        <w:rPr>
          <w:rFonts w:ascii="Arial" w:hAnsi="Arial" w:cs="Arial"/>
          <w:b/>
          <w:bCs/>
          <w:sz w:val="24"/>
          <w:szCs w:val="24"/>
        </w:rPr>
        <w:t xml:space="preserve">COMMUNICATION AND </w:t>
      </w:r>
      <w:proofErr w:type="gramStart"/>
      <w:r w:rsidRPr="00BD719D">
        <w:rPr>
          <w:rFonts w:ascii="Arial" w:hAnsi="Arial" w:cs="Arial"/>
          <w:b/>
          <w:bCs/>
          <w:sz w:val="24"/>
          <w:szCs w:val="24"/>
        </w:rPr>
        <w:t>SUPPORT  -</w:t>
      </w:r>
      <w:proofErr w:type="gramEnd"/>
      <w:r w:rsidRPr="00BD719D">
        <w:rPr>
          <w:rFonts w:ascii="Arial" w:hAnsi="Arial" w:cs="Arial"/>
          <w:b/>
          <w:bCs/>
          <w:sz w:val="24"/>
          <w:szCs w:val="24"/>
        </w:rPr>
        <w:t xml:space="preserve"> Please also refer to patient’s clinic letters for specific clinic contact details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5183"/>
      </w:tblGrid>
      <w:tr w:rsidR="00650A8E" w:rsidRPr="00387F17" w14:paraId="30DE691E" w14:textId="77777777" w:rsidTr="0046412A">
        <w:tc>
          <w:tcPr>
            <w:tcW w:w="10365" w:type="dxa"/>
            <w:gridSpan w:val="2"/>
            <w:shd w:val="clear" w:color="auto" w:fill="E0E0E0"/>
          </w:tcPr>
          <w:p w14:paraId="64266ADC" w14:textId="0E2470D2" w:rsidR="00650A8E" w:rsidRPr="00387F17" w:rsidRDefault="00650A8E" w:rsidP="0046412A">
            <w:pPr>
              <w:jc w:val="center"/>
              <w:rPr>
                <w:sz w:val="24"/>
                <w:szCs w:val="24"/>
              </w:rPr>
            </w:pPr>
            <w:r w:rsidRPr="00387F17">
              <w:rPr>
                <w:rFonts w:ascii="Arial" w:hAnsi="Arial" w:cs="Arial"/>
                <w:b/>
                <w:bCs/>
                <w:sz w:val="24"/>
                <w:szCs w:val="24"/>
              </w:rPr>
              <w:t xml:space="preserve">South London and Maudsley (SLAM): </w:t>
            </w:r>
            <w:proofErr w:type="gramStart"/>
            <w:r w:rsidRPr="00387F17">
              <w:rPr>
                <w:rFonts w:ascii="Arial" w:hAnsi="Arial" w:cs="Arial"/>
                <w:b/>
                <w:bCs/>
                <w:sz w:val="24"/>
                <w:szCs w:val="24"/>
              </w:rPr>
              <w:t>switchboard  020</w:t>
            </w:r>
            <w:proofErr w:type="gramEnd"/>
            <w:r w:rsidR="00BD719D">
              <w:rPr>
                <w:rFonts w:ascii="Arial" w:hAnsi="Arial" w:cs="Arial"/>
                <w:b/>
                <w:bCs/>
                <w:sz w:val="24"/>
                <w:szCs w:val="24"/>
              </w:rPr>
              <w:t xml:space="preserve"> </w:t>
            </w:r>
            <w:r w:rsidRPr="00387F17">
              <w:rPr>
                <w:rFonts w:ascii="Arial" w:hAnsi="Arial" w:cs="Arial"/>
                <w:b/>
                <w:bCs/>
                <w:sz w:val="24"/>
                <w:szCs w:val="24"/>
              </w:rPr>
              <w:t>3228 6000</w:t>
            </w:r>
          </w:p>
        </w:tc>
      </w:tr>
      <w:tr w:rsidR="00650A8E" w:rsidRPr="00387F17" w14:paraId="4BE0193B" w14:textId="77777777" w:rsidTr="0046412A">
        <w:tc>
          <w:tcPr>
            <w:tcW w:w="5182" w:type="dxa"/>
            <w:shd w:val="clear" w:color="auto" w:fill="auto"/>
          </w:tcPr>
          <w:p w14:paraId="5F736CA7" w14:textId="77777777" w:rsidR="00650A8E" w:rsidRPr="006813BA" w:rsidRDefault="00650A8E" w:rsidP="0046412A">
            <w:pPr>
              <w:rPr>
                <w:rFonts w:ascii="Arial" w:hAnsi="Arial" w:cs="Arial"/>
                <w:b/>
                <w:bCs/>
                <w:sz w:val="24"/>
                <w:szCs w:val="24"/>
              </w:rPr>
            </w:pPr>
            <w:r w:rsidRPr="006813BA">
              <w:rPr>
                <w:rFonts w:ascii="Arial" w:hAnsi="Arial" w:cs="Arial"/>
                <w:b/>
                <w:bCs/>
                <w:sz w:val="24"/>
                <w:szCs w:val="24"/>
              </w:rPr>
              <w:t>Medication – Prescribing advice, interactions, availability of medicines</w:t>
            </w:r>
          </w:p>
          <w:p w14:paraId="6A1C2AD1" w14:textId="77777777" w:rsidR="00650A8E" w:rsidRPr="006813BA" w:rsidRDefault="00650A8E" w:rsidP="0046412A">
            <w:pPr>
              <w:rPr>
                <w:rFonts w:ascii="Arial" w:hAnsi="Arial" w:cs="Arial"/>
                <w:sz w:val="24"/>
                <w:szCs w:val="24"/>
              </w:rPr>
            </w:pPr>
          </w:p>
          <w:p w14:paraId="55A38032" w14:textId="77777777" w:rsidR="00650A8E" w:rsidRDefault="00650A8E" w:rsidP="0046412A">
            <w:pPr>
              <w:rPr>
                <w:rFonts w:ascii="Arial" w:hAnsi="Arial" w:cs="Arial"/>
                <w:sz w:val="24"/>
                <w:szCs w:val="24"/>
              </w:rPr>
            </w:pPr>
          </w:p>
          <w:p w14:paraId="7C79EA0F" w14:textId="77777777" w:rsidR="00650A8E" w:rsidRPr="006813BA" w:rsidRDefault="00650A8E" w:rsidP="0046412A">
            <w:pPr>
              <w:rPr>
                <w:rFonts w:ascii="Arial" w:hAnsi="Arial" w:cs="Arial"/>
                <w:sz w:val="24"/>
                <w:szCs w:val="24"/>
              </w:rPr>
            </w:pPr>
            <w:r>
              <w:rPr>
                <w:rFonts w:ascii="Arial" w:hAnsi="Arial" w:cs="Arial"/>
                <w:sz w:val="24"/>
                <w:szCs w:val="24"/>
              </w:rPr>
              <w:t>Medicines Information</w:t>
            </w:r>
          </w:p>
        </w:tc>
        <w:tc>
          <w:tcPr>
            <w:tcW w:w="5183" w:type="dxa"/>
            <w:shd w:val="clear" w:color="auto" w:fill="auto"/>
          </w:tcPr>
          <w:p w14:paraId="6C1530DD" w14:textId="77777777" w:rsidR="00650A8E" w:rsidRPr="006813BA" w:rsidRDefault="00650A8E" w:rsidP="0046412A">
            <w:pPr>
              <w:rPr>
                <w:rFonts w:ascii="Arial" w:hAnsi="Arial" w:cs="Arial"/>
                <w:sz w:val="24"/>
                <w:szCs w:val="24"/>
                <w:highlight w:val="yellow"/>
              </w:rPr>
            </w:pPr>
          </w:p>
          <w:p w14:paraId="04009263" w14:textId="77777777" w:rsidR="00650A8E" w:rsidRPr="006813BA" w:rsidRDefault="00650A8E" w:rsidP="0046412A">
            <w:pPr>
              <w:rPr>
                <w:rFonts w:ascii="Arial" w:hAnsi="Arial" w:cs="Arial"/>
                <w:sz w:val="24"/>
                <w:szCs w:val="24"/>
                <w:highlight w:val="yellow"/>
              </w:rPr>
            </w:pPr>
          </w:p>
          <w:p w14:paraId="24FC9C6F" w14:textId="77777777" w:rsidR="00650A8E" w:rsidRPr="006813BA" w:rsidRDefault="00650A8E" w:rsidP="0046412A">
            <w:pPr>
              <w:rPr>
                <w:rFonts w:ascii="Arial" w:hAnsi="Arial" w:cs="Arial"/>
                <w:sz w:val="24"/>
                <w:szCs w:val="24"/>
                <w:highlight w:val="yellow"/>
              </w:rPr>
            </w:pPr>
          </w:p>
          <w:p w14:paraId="0A0A1835" w14:textId="77777777" w:rsidR="00650A8E" w:rsidRPr="006813BA" w:rsidRDefault="00650A8E" w:rsidP="0046412A">
            <w:pPr>
              <w:rPr>
                <w:rFonts w:ascii="Arial" w:hAnsi="Arial" w:cs="Arial"/>
                <w:sz w:val="24"/>
                <w:szCs w:val="24"/>
                <w:highlight w:val="yellow"/>
              </w:rPr>
            </w:pPr>
          </w:p>
          <w:p w14:paraId="404F607A" w14:textId="690F8536" w:rsidR="00650A8E" w:rsidRDefault="00650A8E" w:rsidP="0046412A">
            <w:pPr>
              <w:rPr>
                <w:rFonts w:ascii="Arial" w:hAnsi="Arial" w:cs="Arial"/>
                <w:sz w:val="24"/>
                <w:szCs w:val="24"/>
                <w:lang w:val="en-GB"/>
              </w:rPr>
            </w:pPr>
            <w:r w:rsidRPr="00653C21">
              <w:rPr>
                <w:rFonts w:ascii="Arial" w:hAnsi="Arial" w:cs="Arial"/>
                <w:sz w:val="24"/>
                <w:szCs w:val="24"/>
              </w:rPr>
              <w:t xml:space="preserve">SLAM Tel: </w:t>
            </w:r>
            <w:r w:rsidRPr="006813BA">
              <w:rPr>
                <w:rFonts w:ascii="Arial" w:hAnsi="Arial" w:cs="Arial"/>
                <w:sz w:val="24"/>
                <w:szCs w:val="24"/>
              </w:rPr>
              <w:t>020</w:t>
            </w:r>
            <w:r w:rsidR="00BD719D">
              <w:rPr>
                <w:rFonts w:ascii="Arial" w:hAnsi="Arial" w:cs="Arial"/>
                <w:sz w:val="24"/>
                <w:szCs w:val="24"/>
              </w:rPr>
              <w:t xml:space="preserve"> </w:t>
            </w:r>
            <w:r w:rsidRPr="006813BA">
              <w:rPr>
                <w:rFonts w:ascii="Arial" w:hAnsi="Arial" w:cs="Arial"/>
                <w:sz w:val="24"/>
                <w:szCs w:val="24"/>
              </w:rPr>
              <w:t>3228 2317</w:t>
            </w:r>
            <w:r w:rsidRPr="006813BA">
              <w:rPr>
                <w:rFonts w:ascii="Arial" w:hAnsi="Arial" w:cs="Arial"/>
                <w:sz w:val="24"/>
                <w:szCs w:val="24"/>
                <w:lang w:val="en-GB"/>
              </w:rPr>
              <w:t xml:space="preserve"> </w:t>
            </w:r>
          </w:p>
          <w:p w14:paraId="4034FD24" w14:textId="77777777" w:rsidR="00650A8E" w:rsidRPr="006813BA" w:rsidRDefault="00650A8E" w:rsidP="0046412A">
            <w:pPr>
              <w:rPr>
                <w:rFonts w:ascii="Arial" w:hAnsi="Arial" w:cs="Arial"/>
                <w:sz w:val="24"/>
                <w:szCs w:val="24"/>
              </w:rPr>
            </w:pPr>
          </w:p>
        </w:tc>
      </w:tr>
      <w:tr w:rsidR="00650A8E" w:rsidRPr="00387F17" w14:paraId="57B850D1" w14:textId="77777777" w:rsidTr="0046412A">
        <w:tc>
          <w:tcPr>
            <w:tcW w:w="10365" w:type="dxa"/>
            <w:gridSpan w:val="2"/>
            <w:shd w:val="clear" w:color="auto" w:fill="E0E0E0"/>
          </w:tcPr>
          <w:p w14:paraId="6F34CD63" w14:textId="77777777" w:rsidR="00650A8E" w:rsidRPr="006813BA" w:rsidRDefault="00650A8E" w:rsidP="0046412A">
            <w:pPr>
              <w:jc w:val="center"/>
              <w:rPr>
                <w:sz w:val="24"/>
                <w:szCs w:val="24"/>
              </w:rPr>
            </w:pPr>
            <w:proofErr w:type="spellStart"/>
            <w:r w:rsidRPr="00FF0CE9">
              <w:rPr>
                <w:rFonts w:ascii="Arial" w:hAnsi="Arial" w:cs="Arial"/>
                <w:b/>
                <w:bCs/>
                <w:sz w:val="24"/>
                <w:szCs w:val="24"/>
              </w:rPr>
              <w:t>Oxleas</w:t>
            </w:r>
            <w:proofErr w:type="spellEnd"/>
            <w:r w:rsidRPr="00FF0CE9">
              <w:rPr>
                <w:rFonts w:ascii="Arial" w:hAnsi="Arial" w:cs="Arial"/>
                <w:b/>
                <w:bCs/>
                <w:sz w:val="24"/>
                <w:szCs w:val="24"/>
              </w:rPr>
              <w:t xml:space="preserve"> NHS Trust </w:t>
            </w:r>
            <w:proofErr w:type="gramStart"/>
            <w:r w:rsidRPr="00FF0CE9">
              <w:rPr>
                <w:rFonts w:ascii="Arial" w:hAnsi="Arial" w:cs="Arial"/>
                <w:b/>
                <w:bCs/>
                <w:sz w:val="24"/>
                <w:szCs w:val="24"/>
              </w:rPr>
              <w:t>switchboard :</w:t>
            </w:r>
            <w:proofErr w:type="gramEnd"/>
            <w:r w:rsidRPr="00FF0CE9">
              <w:rPr>
                <w:rFonts w:ascii="Arial" w:hAnsi="Arial" w:cs="Arial"/>
                <w:b/>
                <w:bCs/>
                <w:sz w:val="24"/>
                <w:szCs w:val="24"/>
              </w:rPr>
              <w:t xml:space="preserve"> 01322 625700</w:t>
            </w:r>
          </w:p>
        </w:tc>
      </w:tr>
      <w:tr w:rsidR="00650A8E" w:rsidRPr="00387F17" w14:paraId="01F742FB" w14:textId="77777777" w:rsidTr="0046412A">
        <w:tc>
          <w:tcPr>
            <w:tcW w:w="5182" w:type="dxa"/>
            <w:shd w:val="clear" w:color="auto" w:fill="auto"/>
          </w:tcPr>
          <w:p w14:paraId="55013386" w14:textId="77777777" w:rsidR="00650A8E" w:rsidRPr="006813BA" w:rsidRDefault="00650A8E" w:rsidP="0046412A">
            <w:pPr>
              <w:rPr>
                <w:rFonts w:ascii="Arial" w:hAnsi="Arial" w:cs="Arial"/>
                <w:b/>
                <w:bCs/>
                <w:sz w:val="24"/>
                <w:szCs w:val="24"/>
              </w:rPr>
            </w:pPr>
            <w:r w:rsidRPr="006813BA">
              <w:rPr>
                <w:rFonts w:ascii="Arial" w:hAnsi="Arial" w:cs="Arial"/>
                <w:b/>
                <w:bCs/>
                <w:sz w:val="24"/>
                <w:szCs w:val="24"/>
              </w:rPr>
              <w:t>Medication – Prescribing advice, interactions, availability of medicines</w:t>
            </w:r>
          </w:p>
          <w:p w14:paraId="2A226E1A" w14:textId="77777777" w:rsidR="00650A8E" w:rsidRPr="006813BA" w:rsidRDefault="00650A8E" w:rsidP="0046412A">
            <w:pPr>
              <w:rPr>
                <w:rFonts w:ascii="Arial" w:hAnsi="Arial" w:cs="Arial"/>
                <w:b/>
                <w:bCs/>
                <w:sz w:val="24"/>
                <w:szCs w:val="24"/>
              </w:rPr>
            </w:pPr>
          </w:p>
          <w:p w14:paraId="05E6ADCC" w14:textId="77777777" w:rsidR="00650A8E" w:rsidRPr="00653C21" w:rsidRDefault="00650A8E" w:rsidP="0046412A">
            <w:pPr>
              <w:rPr>
                <w:rFonts w:ascii="Arial" w:hAnsi="Arial" w:cs="Arial"/>
                <w:sz w:val="24"/>
                <w:szCs w:val="24"/>
                <w:lang w:eastAsia="en-GB"/>
              </w:rPr>
            </w:pPr>
            <w:r w:rsidRPr="00653C21">
              <w:rPr>
                <w:rFonts w:ascii="Arial" w:hAnsi="Arial" w:cs="Arial"/>
                <w:sz w:val="24"/>
                <w:szCs w:val="24"/>
                <w:lang w:eastAsia="en-GB"/>
              </w:rPr>
              <w:t xml:space="preserve">Medicines information </w:t>
            </w:r>
          </w:p>
          <w:p w14:paraId="7DA6101F" w14:textId="77777777" w:rsidR="00650A8E" w:rsidRPr="006813BA" w:rsidRDefault="00650A8E" w:rsidP="0046412A">
            <w:pPr>
              <w:rPr>
                <w:rFonts w:ascii="Arial" w:hAnsi="Arial" w:cs="Arial"/>
                <w:sz w:val="24"/>
                <w:szCs w:val="24"/>
              </w:rPr>
            </w:pPr>
          </w:p>
        </w:tc>
        <w:tc>
          <w:tcPr>
            <w:tcW w:w="5183" w:type="dxa"/>
            <w:shd w:val="clear" w:color="auto" w:fill="auto"/>
          </w:tcPr>
          <w:p w14:paraId="66C56B1F" w14:textId="77777777" w:rsidR="00650A8E" w:rsidRPr="006813BA" w:rsidRDefault="00650A8E" w:rsidP="0046412A">
            <w:pPr>
              <w:rPr>
                <w:rFonts w:ascii="Arial" w:hAnsi="Arial" w:cs="Arial"/>
                <w:sz w:val="24"/>
                <w:szCs w:val="24"/>
                <w:highlight w:val="yellow"/>
              </w:rPr>
            </w:pPr>
          </w:p>
          <w:p w14:paraId="3EAB79D3" w14:textId="77777777" w:rsidR="00650A8E" w:rsidRPr="006813BA" w:rsidRDefault="00650A8E" w:rsidP="0046412A">
            <w:pPr>
              <w:rPr>
                <w:rFonts w:ascii="Arial" w:hAnsi="Arial" w:cs="Arial"/>
                <w:sz w:val="24"/>
                <w:szCs w:val="24"/>
                <w:highlight w:val="yellow"/>
              </w:rPr>
            </w:pPr>
          </w:p>
          <w:p w14:paraId="536D6D44" w14:textId="77777777" w:rsidR="00650A8E" w:rsidRPr="00653C21" w:rsidRDefault="00650A8E" w:rsidP="0046412A">
            <w:pPr>
              <w:rPr>
                <w:rFonts w:ascii="Arial" w:hAnsi="Arial" w:cs="Arial"/>
                <w:sz w:val="24"/>
                <w:szCs w:val="24"/>
                <w:highlight w:val="yellow"/>
              </w:rPr>
            </w:pPr>
          </w:p>
          <w:p w14:paraId="2805ACD6" w14:textId="77777777" w:rsidR="00650A8E" w:rsidRPr="00653C21" w:rsidRDefault="00650A8E" w:rsidP="0046412A">
            <w:pPr>
              <w:rPr>
                <w:rFonts w:ascii="Arial" w:hAnsi="Arial" w:cs="Arial"/>
                <w:sz w:val="24"/>
                <w:szCs w:val="24"/>
              </w:rPr>
            </w:pPr>
            <w:r w:rsidRPr="00653C21">
              <w:rPr>
                <w:rFonts w:ascii="Arial" w:hAnsi="Arial" w:cs="Arial"/>
                <w:sz w:val="24"/>
                <w:szCs w:val="24"/>
              </w:rPr>
              <w:t>Tel:</w:t>
            </w:r>
            <w:r w:rsidRPr="00653C21">
              <w:rPr>
                <w:rFonts w:ascii="Arial" w:hAnsi="Arial" w:cs="Arial"/>
                <w:sz w:val="24"/>
                <w:szCs w:val="24"/>
                <w:lang w:eastAsia="en-GB"/>
              </w:rPr>
              <w:t xml:space="preserve">   01322 625002</w:t>
            </w:r>
          </w:p>
          <w:p w14:paraId="7CC44D21" w14:textId="77777777" w:rsidR="000315A4" w:rsidRPr="000315A4" w:rsidRDefault="00650A8E" w:rsidP="000315A4">
            <w:pPr>
              <w:rPr>
                <w:rFonts w:ascii="Arial" w:hAnsi="Arial" w:cs="Arial"/>
                <w:sz w:val="24"/>
                <w:lang w:val="en-GB"/>
              </w:rPr>
            </w:pPr>
            <w:r w:rsidRPr="00653C21">
              <w:rPr>
                <w:rFonts w:ascii="Arial" w:hAnsi="Arial" w:cs="Arial"/>
                <w:sz w:val="24"/>
                <w:szCs w:val="24"/>
              </w:rPr>
              <w:t>Email:</w:t>
            </w:r>
            <w:r w:rsidRPr="00653C21">
              <w:rPr>
                <w:rFonts w:ascii="Arial" w:hAnsi="Arial" w:cs="Arial"/>
                <w:sz w:val="24"/>
                <w:szCs w:val="24"/>
                <w:lang w:val="en-GB"/>
              </w:rPr>
              <w:t xml:space="preserve"> </w:t>
            </w:r>
            <w:hyperlink r:id="rId23" w:history="1">
              <w:r w:rsidR="000315A4" w:rsidRPr="000315A4">
                <w:rPr>
                  <w:rStyle w:val="Hyperlink"/>
                  <w:rFonts w:ascii="Arial" w:hAnsi="Arial" w:cs="Arial"/>
                  <w:sz w:val="24"/>
                  <w:lang w:val="en-GB"/>
                </w:rPr>
                <w:t>oxl-tr.medicinesinfo@nhs.net</w:t>
              </w:r>
            </w:hyperlink>
          </w:p>
          <w:p w14:paraId="11CFDE75" w14:textId="77777777" w:rsidR="00650A8E" w:rsidRPr="00653C21" w:rsidRDefault="00650A8E" w:rsidP="0046412A">
            <w:pPr>
              <w:rPr>
                <w:rFonts w:ascii="Arial" w:hAnsi="Arial" w:cs="Arial"/>
                <w:sz w:val="24"/>
                <w:szCs w:val="24"/>
                <w:lang w:val="en-GB"/>
              </w:rPr>
            </w:pPr>
          </w:p>
          <w:p w14:paraId="6E95DE88" w14:textId="77777777" w:rsidR="00650A8E" w:rsidRPr="006813BA" w:rsidRDefault="00650A8E" w:rsidP="0046412A">
            <w:pPr>
              <w:rPr>
                <w:rFonts w:ascii="Arial" w:hAnsi="Arial" w:cs="Arial"/>
                <w:sz w:val="24"/>
                <w:szCs w:val="24"/>
              </w:rPr>
            </w:pPr>
          </w:p>
          <w:p w14:paraId="0686F1CF" w14:textId="77777777" w:rsidR="00650A8E" w:rsidRPr="006813BA" w:rsidRDefault="00650A8E" w:rsidP="0046412A">
            <w:pPr>
              <w:rPr>
                <w:rFonts w:ascii="Arial" w:hAnsi="Arial" w:cs="Arial"/>
                <w:sz w:val="24"/>
                <w:szCs w:val="24"/>
              </w:rPr>
            </w:pPr>
            <w:r w:rsidRPr="006813BA">
              <w:rPr>
                <w:rFonts w:ascii="Arial" w:hAnsi="Arial" w:cs="Arial"/>
                <w:sz w:val="24"/>
                <w:szCs w:val="24"/>
                <w:lang w:val="en-GB"/>
              </w:rPr>
              <w:t xml:space="preserve"> </w:t>
            </w:r>
          </w:p>
        </w:tc>
      </w:tr>
    </w:tbl>
    <w:p w14:paraId="05D1542E" w14:textId="77777777" w:rsidR="00650A8E" w:rsidRDefault="00650A8E" w:rsidP="0011162F">
      <w:pPr>
        <w:rPr>
          <w:rFonts w:ascii="Arial" w:hAnsi="Arial" w:cs="Arial"/>
          <w:b/>
          <w:bCs/>
          <w:sz w:val="24"/>
          <w:szCs w:val="24"/>
        </w:rPr>
      </w:pPr>
    </w:p>
    <w:tbl>
      <w:tblPr>
        <w:tblW w:w="1056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560"/>
      </w:tblGrid>
      <w:tr w:rsidR="00834C7C" w:rsidRPr="00387F17" w14:paraId="214C8FAD" w14:textId="77777777" w:rsidTr="00650A8E">
        <w:tc>
          <w:tcPr>
            <w:tcW w:w="10560" w:type="dxa"/>
            <w:tcBorders>
              <w:top w:val="single" w:sz="12" w:space="0" w:color="auto"/>
            </w:tcBorders>
            <w:shd w:val="clear" w:color="auto" w:fill="3366FF"/>
          </w:tcPr>
          <w:p w14:paraId="4A9716A5" w14:textId="77777777" w:rsidR="00834C7C" w:rsidRPr="00387F17" w:rsidRDefault="00834C7C" w:rsidP="00D83833">
            <w:pPr>
              <w:rPr>
                <w:rFonts w:ascii="Arial" w:hAnsi="Arial" w:cs="Arial"/>
                <w:b/>
                <w:bCs/>
                <w:color w:val="FFFFFF"/>
                <w:sz w:val="24"/>
                <w:szCs w:val="24"/>
              </w:rPr>
            </w:pPr>
            <w:r w:rsidRPr="00387F17">
              <w:rPr>
                <w:rFonts w:ascii="Arial" w:hAnsi="Arial" w:cs="Arial"/>
                <w:b/>
                <w:bCs/>
                <w:color w:val="FFFFFF"/>
                <w:sz w:val="24"/>
                <w:szCs w:val="24"/>
              </w:rPr>
              <w:t>Evidence Base for treatment and key references</w:t>
            </w:r>
          </w:p>
        </w:tc>
      </w:tr>
      <w:tr w:rsidR="00834C7C" w:rsidRPr="00387F17" w14:paraId="18A7312F" w14:textId="77777777" w:rsidTr="00650A8E">
        <w:tc>
          <w:tcPr>
            <w:tcW w:w="10560" w:type="dxa"/>
            <w:tcBorders>
              <w:bottom w:val="single" w:sz="12" w:space="0" w:color="auto"/>
            </w:tcBorders>
          </w:tcPr>
          <w:p w14:paraId="11309EF1" w14:textId="7FF7BCEA" w:rsidR="0084650C" w:rsidRPr="000D2211" w:rsidRDefault="00692969" w:rsidP="000A5034">
            <w:pPr>
              <w:pStyle w:val="ListParagraph"/>
              <w:numPr>
                <w:ilvl w:val="0"/>
                <w:numId w:val="31"/>
              </w:numPr>
              <w:autoSpaceDE w:val="0"/>
              <w:autoSpaceDN w:val="0"/>
              <w:adjustRightInd w:val="0"/>
              <w:rPr>
                <w:rFonts w:ascii="Arial" w:hAnsi="Arial" w:cs="Arial"/>
                <w:strike/>
                <w:sz w:val="20"/>
                <w:szCs w:val="20"/>
                <w:lang w:val="en-GB" w:eastAsia="en-GB"/>
              </w:rPr>
            </w:pPr>
            <w:r w:rsidRPr="000D2211">
              <w:rPr>
                <w:rFonts w:ascii="Arial" w:hAnsi="Arial" w:cs="Arial"/>
                <w:color w:val="000000"/>
                <w:sz w:val="20"/>
                <w:szCs w:val="20"/>
                <w:lang w:val="en-GB" w:eastAsia="en-GB"/>
              </w:rPr>
              <w:t xml:space="preserve">Otsuka Pharmaceuticals (UK) Ltd. Abilify </w:t>
            </w:r>
            <w:proofErr w:type="spellStart"/>
            <w:r w:rsidRPr="000D2211">
              <w:rPr>
                <w:rFonts w:ascii="Arial" w:hAnsi="Arial" w:cs="Arial"/>
                <w:color w:val="000000"/>
                <w:sz w:val="20"/>
                <w:szCs w:val="20"/>
                <w:lang w:val="en-GB" w:eastAsia="en-GB"/>
              </w:rPr>
              <w:t>Maintena</w:t>
            </w:r>
            <w:proofErr w:type="spellEnd"/>
            <w:r w:rsidRPr="000D2211">
              <w:rPr>
                <w:rFonts w:ascii="Arial" w:hAnsi="Arial" w:cs="Arial"/>
                <w:color w:val="000000"/>
                <w:sz w:val="20"/>
                <w:szCs w:val="20"/>
                <w:lang w:val="en-GB" w:eastAsia="en-GB"/>
              </w:rPr>
              <w:t xml:space="preserve"> 400 mg powder and solvent </w:t>
            </w:r>
            <w:r w:rsidRPr="000D2211">
              <w:rPr>
                <w:rFonts w:ascii="Arial" w:hAnsi="Arial" w:cs="Arial"/>
                <w:sz w:val="20"/>
                <w:szCs w:val="20"/>
                <w:lang w:val="en-GB" w:eastAsia="en-GB"/>
              </w:rPr>
              <w:t>for</w:t>
            </w:r>
            <w:r w:rsidR="00D362EE" w:rsidRPr="000D2211">
              <w:rPr>
                <w:rFonts w:ascii="Arial" w:hAnsi="Arial" w:cs="Arial"/>
                <w:sz w:val="20"/>
                <w:szCs w:val="20"/>
                <w:lang w:val="en-GB" w:eastAsia="en-GB"/>
              </w:rPr>
              <w:t xml:space="preserve"> </w:t>
            </w:r>
            <w:r w:rsidRPr="000D2211">
              <w:rPr>
                <w:rFonts w:ascii="Arial" w:hAnsi="Arial" w:cs="Arial"/>
                <w:sz w:val="20"/>
                <w:szCs w:val="20"/>
                <w:lang w:val="en-GB" w:eastAsia="en-GB"/>
              </w:rPr>
              <w:t xml:space="preserve">prolonged-release suspension for injection. </w:t>
            </w:r>
            <w:r w:rsidR="0084650C" w:rsidRPr="000D2211">
              <w:rPr>
                <w:rStyle w:val="Hyperlink"/>
                <w:rFonts w:ascii="Arial" w:hAnsi="Arial" w:cs="Arial"/>
                <w:color w:val="auto"/>
                <w:sz w:val="20"/>
                <w:szCs w:val="20"/>
                <w:u w:val="none"/>
                <w:lang w:val="en-GB" w:eastAsia="en-GB"/>
              </w:rPr>
              <w:t xml:space="preserve">SPC (date of revision of the text </w:t>
            </w:r>
            <w:r w:rsidR="000D2211">
              <w:rPr>
                <w:rStyle w:val="Hyperlink"/>
                <w:rFonts w:ascii="Arial" w:hAnsi="Arial" w:cs="Arial"/>
                <w:color w:val="auto"/>
                <w:sz w:val="20"/>
                <w:szCs w:val="20"/>
                <w:u w:val="none"/>
                <w:lang w:val="en-GB" w:eastAsia="en-GB"/>
              </w:rPr>
              <w:t>11 Nov 2020</w:t>
            </w:r>
            <w:r w:rsidR="0084650C" w:rsidRPr="000D2211">
              <w:rPr>
                <w:rStyle w:val="Hyperlink"/>
                <w:rFonts w:ascii="Arial" w:hAnsi="Arial" w:cs="Arial"/>
                <w:color w:val="auto"/>
                <w:sz w:val="20"/>
                <w:szCs w:val="20"/>
                <w:u w:val="none"/>
                <w:lang w:val="en-GB" w:eastAsia="en-GB"/>
              </w:rPr>
              <w:t>)</w:t>
            </w:r>
          </w:p>
          <w:p w14:paraId="114E34C8" w14:textId="77777777" w:rsidR="00D362EE" w:rsidRPr="000D2211" w:rsidRDefault="00000000" w:rsidP="00D362EE">
            <w:pPr>
              <w:pStyle w:val="ListParagraph"/>
              <w:autoSpaceDE w:val="0"/>
              <w:autoSpaceDN w:val="0"/>
              <w:adjustRightInd w:val="0"/>
              <w:ind w:left="360"/>
              <w:rPr>
                <w:rFonts w:ascii="Arial" w:hAnsi="Arial" w:cs="Arial"/>
                <w:sz w:val="20"/>
                <w:szCs w:val="20"/>
                <w:lang w:val="en-GB" w:eastAsia="en-GB"/>
              </w:rPr>
            </w:pPr>
            <w:hyperlink r:id="rId24" w:history="1">
              <w:r w:rsidR="00D362EE" w:rsidRPr="000D2211">
                <w:rPr>
                  <w:rStyle w:val="Hyperlink"/>
                  <w:rFonts w:ascii="Arial" w:hAnsi="Arial" w:cs="Arial"/>
                  <w:sz w:val="20"/>
                  <w:szCs w:val="20"/>
                  <w:lang w:val="en-GB" w:eastAsia="en-GB"/>
                </w:rPr>
                <w:t>https://www.medicines.org.uk/emc/product/7965/smpc</w:t>
              </w:r>
            </w:hyperlink>
          </w:p>
          <w:p w14:paraId="004B9D19" w14:textId="77777777" w:rsidR="006813BA" w:rsidRPr="000D2211" w:rsidRDefault="00692969" w:rsidP="0011162F">
            <w:pPr>
              <w:pStyle w:val="ListParagraph"/>
              <w:numPr>
                <w:ilvl w:val="0"/>
                <w:numId w:val="31"/>
              </w:numPr>
              <w:autoSpaceDE w:val="0"/>
              <w:autoSpaceDN w:val="0"/>
              <w:adjustRightInd w:val="0"/>
              <w:rPr>
                <w:rFonts w:ascii="Arial" w:hAnsi="Arial" w:cs="Arial"/>
                <w:sz w:val="20"/>
                <w:szCs w:val="20"/>
                <w:lang w:val="en-GB" w:eastAsia="en-GB"/>
              </w:rPr>
            </w:pPr>
            <w:r w:rsidRPr="000D2211">
              <w:rPr>
                <w:rFonts w:ascii="Arial" w:hAnsi="Arial" w:cs="Arial"/>
                <w:sz w:val="20"/>
                <w:szCs w:val="20"/>
                <w:lang w:val="en-GB" w:eastAsia="en-GB"/>
              </w:rPr>
              <w:t>Scottish Medicines Consortium. Aripiprazole 400mg powder and solvent for</w:t>
            </w:r>
            <w:r w:rsidR="006813BA" w:rsidRPr="000D2211">
              <w:rPr>
                <w:rFonts w:ascii="Arial" w:hAnsi="Arial" w:cs="Arial"/>
                <w:sz w:val="20"/>
                <w:szCs w:val="20"/>
                <w:lang w:val="en-GB" w:eastAsia="en-GB"/>
              </w:rPr>
              <w:t xml:space="preserve"> </w:t>
            </w:r>
            <w:r w:rsidRPr="000D2211">
              <w:rPr>
                <w:rFonts w:ascii="Arial" w:hAnsi="Arial" w:cs="Arial"/>
                <w:sz w:val="20"/>
                <w:szCs w:val="20"/>
                <w:lang w:val="en-GB" w:eastAsia="en-GB"/>
              </w:rPr>
              <w:t xml:space="preserve">prolonged release suspension for injection (Abilify </w:t>
            </w:r>
            <w:proofErr w:type="spellStart"/>
            <w:r w:rsidRPr="000D2211">
              <w:rPr>
                <w:rFonts w:ascii="Arial" w:hAnsi="Arial" w:cs="Arial"/>
                <w:sz w:val="20"/>
                <w:szCs w:val="20"/>
                <w:lang w:val="en-GB" w:eastAsia="en-GB"/>
              </w:rPr>
              <w:t>Maintena</w:t>
            </w:r>
            <w:proofErr w:type="spellEnd"/>
            <w:r w:rsidRPr="000D2211">
              <w:rPr>
                <w:rFonts w:ascii="Arial" w:hAnsi="Arial" w:cs="Arial"/>
                <w:sz w:val="20"/>
                <w:szCs w:val="20"/>
                <w:lang w:val="en-GB" w:eastAsia="en-GB"/>
              </w:rPr>
              <w:t>®): SMC No. (962/14)</w:t>
            </w:r>
            <w:r w:rsidR="006813BA" w:rsidRPr="000D2211">
              <w:rPr>
                <w:rFonts w:ascii="Arial" w:hAnsi="Arial" w:cs="Arial"/>
                <w:sz w:val="20"/>
                <w:szCs w:val="20"/>
                <w:lang w:val="en-GB" w:eastAsia="en-GB"/>
              </w:rPr>
              <w:t xml:space="preserve"> </w:t>
            </w:r>
            <w:r w:rsidRPr="000D2211">
              <w:rPr>
                <w:rFonts w:ascii="Arial" w:hAnsi="Arial" w:cs="Arial"/>
                <w:sz w:val="20"/>
                <w:szCs w:val="20"/>
                <w:lang w:val="en-GB" w:eastAsia="en-GB"/>
              </w:rPr>
              <w:t>issued 04 April 2014.</w:t>
            </w:r>
            <w:r w:rsidR="006813BA" w:rsidRPr="000D2211">
              <w:rPr>
                <w:rFonts w:ascii="Arial" w:hAnsi="Arial" w:cs="Arial"/>
                <w:sz w:val="20"/>
                <w:szCs w:val="20"/>
                <w:lang w:val="en-GB" w:eastAsia="en-GB"/>
              </w:rPr>
              <w:t xml:space="preserve"> </w:t>
            </w:r>
            <w:hyperlink r:id="rId25" w:history="1">
              <w:r w:rsidR="006813BA" w:rsidRPr="000D2211">
                <w:rPr>
                  <w:rStyle w:val="Hyperlink"/>
                  <w:rFonts w:ascii="Arial" w:hAnsi="Arial" w:cs="Arial"/>
                  <w:color w:val="0070C0"/>
                  <w:sz w:val="20"/>
                  <w:szCs w:val="20"/>
                  <w:lang w:val="en-GB" w:eastAsia="en-GB"/>
                </w:rPr>
                <w:t>http://www.scottishmedicines.org.uk/SMC_Advice/Advice/962_14_aripiprazole_Abilify_Maintena/aripiprazole_Abilify</w:t>
              </w:r>
            </w:hyperlink>
          </w:p>
          <w:p w14:paraId="595308C1" w14:textId="0F2438D5" w:rsidR="000D2211" w:rsidRPr="000D2211" w:rsidRDefault="00692969" w:rsidP="000D2211">
            <w:pPr>
              <w:pStyle w:val="ListParagraph"/>
              <w:numPr>
                <w:ilvl w:val="0"/>
                <w:numId w:val="31"/>
              </w:numPr>
              <w:autoSpaceDE w:val="0"/>
              <w:autoSpaceDN w:val="0"/>
              <w:adjustRightInd w:val="0"/>
              <w:rPr>
                <w:rFonts w:ascii="Arial" w:hAnsi="Arial" w:cs="Arial"/>
                <w:sz w:val="20"/>
                <w:szCs w:val="20"/>
                <w:lang w:val="en-GB" w:eastAsia="en-GB"/>
              </w:rPr>
            </w:pPr>
            <w:r w:rsidRPr="000D2211">
              <w:rPr>
                <w:rFonts w:ascii="Arial" w:hAnsi="Arial" w:cs="Arial"/>
                <w:sz w:val="20"/>
                <w:szCs w:val="20"/>
                <w:lang w:val="en-GB" w:eastAsia="en-GB"/>
              </w:rPr>
              <w:t>NICE. Schizophrenia: aripiprazole prolonged-release suspension for injection,</w:t>
            </w:r>
            <w:r w:rsidR="006813BA" w:rsidRPr="000D2211">
              <w:rPr>
                <w:rFonts w:ascii="Arial" w:hAnsi="Arial" w:cs="Arial"/>
                <w:sz w:val="20"/>
                <w:szCs w:val="20"/>
                <w:lang w:val="en-GB" w:eastAsia="en-GB"/>
              </w:rPr>
              <w:t xml:space="preserve"> </w:t>
            </w:r>
            <w:r w:rsidRPr="000D2211">
              <w:rPr>
                <w:rFonts w:ascii="Arial" w:hAnsi="Arial" w:cs="Arial"/>
                <w:sz w:val="20"/>
                <w:szCs w:val="20"/>
                <w:lang w:val="en-GB" w:eastAsia="en-GB"/>
              </w:rPr>
              <w:t xml:space="preserve">ESNM39: published 26 March 2014. </w:t>
            </w:r>
            <w:hyperlink r:id="rId26" w:history="1">
              <w:r w:rsidR="000D2211" w:rsidRPr="002E7E61">
                <w:rPr>
                  <w:rStyle w:val="Hyperlink"/>
                  <w:rFonts w:ascii="Arial" w:hAnsi="Arial" w:cs="Arial"/>
                  <w:sz w:val="20"/>
                  <w:szCs w:val="20"/>
                </w:rPr>
                <w:t>https://www.nice.org.uk/advice/esnm39/resources/schizophrenia-aripiprazole-prolongedrelease-suspension-for-injection-pdf-1502680932221893</w:t>
              </w:r>
            </w:hyperlink>
            <w:r w:rsidR="000D2211">
              <w:rPr>
                <w:rFonts w:ascii="Arial" w:hAnsi="Arial" w:cs="Arial"/>
                <w:sz w:val="20"/>
                <w:szCs w:val="20"/>
              </w:rPr>
              <w:t xml:space="preserve"> </w:t>
            </w:r>
          </w:p>
          <w:p w14:paraId="138560A9" w14:textId="77777777" w:rsidR="006813BA" w:rsidRPr="000D2211" w:rsidRDefault="00692969" w:rsidP="0011162F">
            <w:pPr>
              <w:pStyle w:val="ListParagraph"/>
              <w:numPr>
                <w:ilvl w:val="0"/>
                <w:numId w:val="31"/>
              </w:numPr>
              <w:autoSpaceDE w:val="0"/>
              <w:autoSpaceDN w:val="0"/>
              <w:adjustRightInd w:val="0"/>
              <w:rPr>
                <w:rFonts w:ascii="Arial" w:hAnsi="Arial" w:cs="Arial"/>
                <w:sz w:val="20"/>
                <w:szCs w:val="20"/>
                <w:lang w:val="en-GB" w:eastAsia="en-GB"/>
              </w:rPr>
            </w:pPr>
            <w:r w:rsidRPr="000D2211">
              <w:rPr>
                <w:rFonts w:ascii="Arial" w:hAnsi="Arial" w:cs="Arial"/>
                <w:sz w:val="20"/>
                <w:szCs w:val="20"/>
                <w:lang w:val="en-GB" w:eastAsia="en-GB"/>
              </w:rPr>
              <w:t>Anon. Second-generation long-acting injectable antipsychotic agents: an overview.</w:t>
            </w:r>
            <w:r w:rsidR="006813BA" w:rsidRPr="000D2211">
              <w:rPr>
                <w:rFonts w:ascii="Arial" w:hAnsi="Arial" w:cs="Arial"/>
                <w:sz w:val="20"/>
                <w:szCs w:val="20"/>
                <w:lang w:val="en-GB" w:eastAsia="en-GB"/>
              </w:rPr>
              <w:t xml:space="preserve"> </w:t>
            </w:r>
            <w:r w:rsidRPr="000D2211">
              <w:rPr>
                <w:rFonts w:ascii="Arial" w:hAnsi="Arial" w:cs="Arial"/>
                <w:sz w:val="20"/>
                <w:szCs w:val="20"/>
                <w:lang w:val="en-GB" w:eastAsia="en-GB"/>
              </w:rPr>
              <w:t>DTB 2012 50: 102-105</w:t>
            </w:r>
          </w:p>
          <w:p w14:paraId="7ED9DDBA" w14:textId="23F856BD" w:rsidR="006813BA" w:rsidRPr="000D2211" w:rsidRDefault="00692969" w:rsidP="00D70DB6">
            <w:pPr>
              <w:pStyle w:val="ListParagraph"/>
              <w:numPr>
                <w:ilvl w:val="0"/>
                <w:numId w:val="31"/>
              </w:numPr>
              <w:autoSpaceDE w:val="0"/>
              <w:autoSpaceDN w:val="0"/>
              <w:adjustRightInd w:val="0"/>
              <w:rPr>
                <w:rFonts w:ascii="Arial" w:hAnsi="Arial" w:cs="Arial"/>
                <w:sz w:val="20"/>
                <w:szCs w:val="20"/>
                <w:lang w:val="en-GB" w:eastAsia="en-GB"/>
              </w:rPr>
            </w:pPr>
            <w:r w:rsidRPr="000D2211">
              <w:rPr>
                <w:rFonts w:ascii="Arial" w:hAnsi="Arial" w:cs="Arial"/>
                <w:sz w:val="20"/>
                <w:szCs w:val="20"/>
                <w:lang w:val="en-GB" w:eastAsia="en-GB"/>
              </w:rPr>
              <w:t xml:space="preserve">NICE. Psychosis and schizophrenia in adults: treatment and management. </w:t>
            </w:r>
            <w:r w:rsidR="006813BA" w:rsidRPr="000D2211">
              <w:rPr>
                <w:rFonts w:ascii="Arial" w:hAnsi="Arial" w:cs="Arial"/>
                <w:sz w:val="20"/>
                <w:szCs w:val="20"/>
                <w:lang w:val="en-GB" w:eastAsia="en-GB"/>
              </w:rPr>
              <w:t xml:space="preserve">Clinical </w:t>
            </w:r>
            <w:r w:rsidRPr="000D2211">
              <w:rPr>
                <w:rFonts w:ascii="Arial" w:hAnsi="Arial" w:cs="Arial"/>
                <w:sz w:val="20"/>
                <w:szCs w:val="20"/>
                <w:lang w:val="en-GB" w:eastAsia="en-GB"/>
              </w:rPr>
              <w:t xml:space="preserve">guideline 178 (issued: February 2014, last </w:t>
            </w:r>
            <w:r w:rsidR="00D70DB6">
              <w:rPr>
                <w:rFonts w:ascii="Arial" w:hAnsi="Arial" w:cs="Arial"/>
                <w:sz w:val="20"/>
                <w:szCs w:val="20"/>
                <w:lang w:val="en-GB" w:eastAsia="en-GB"/>
              </w:rPr>
              <w:t>checked March 2019</w:t>
            </w:r>
            <w:r w:rsidRPr="000D2211">
              <w:rPr>
                <w:rFonts w:ascii="Arial" w:hAnsi="Arial" w:cs="Arial"/>
                <w:sz w:val="20"/>
                <w:szCs w:val="20"/>
                <w:lang w:val="en-GB" w:eastAsia="en-GB"/>
              </w:rPr>
              <w:t>):</w:t>
            </w:r>
            <w:r w:rsidR="006813BA" w:rsidRPr="000D2211">
              <w:rPr>
                <w:rFonts w:ascii="Arial" w:hAnsi="Arial" w:cs="Arial"/>
                <w:sz w:val="20"/>
                <w:szCs w:val="20"/>
                <w:lang w:val="en-GB" w:eastAsia="en-GB"/>
              </w:rPr>
              <w:t xml:space="preserve"> </w:t>
            </w:r>
            <w:hyperlink r:id="rId27" w:history="1">
              <w:r w:rsidR="00D70DB6" w:rsidRPr="002E7E61">
                <w:rPr>
                  <w:rStyle w:val="Hyperlink"/>
                  <w:rFonts w:ascii="Arial" w:hAnsi="Arial" w:cs="Arial"/>
                  <w:sz w:val="20"/>
                  <w:szCs w:val="20"/>
                </w:rPr>
                <w:t>https://www.nice.org.uk/guidance/cg178</w:t>
              </w:r>
            </w:hyperlink>
            <w:r w:rsidR="00D70DB6">
              <w:rPr>
                <w:rFonts w:ascii="Arial" w:hAnsi="Arial" w:cs="Arial"/>
                <w:sz w:val="20"/>
                <w:szCs w:val="20"/>
              </w:rPr>
              <w:t xml:space="preserve"> </w:t>
            </w:r>
          </w:p>
          <w:p w14:paraId="071C1A77" w14:textId="77777777" w:rsidR="006813BA" w:rsidRPr="000D2211" w:rsidRDefault="008A5809" w:rsidP="008D257D">
            <w:pPr>
              <w:pStyle w:val="ListParagraph"/>
              <w:numPr>
                <w:ilvl w:val="0"/>
                <w:numId w:val="31"/>
              </w:numPr>
              <w:autoSpaceDE w:val="0"/>
              <w:autoSpaceDN w:val="0"/>
              <w:adjustRightInd w:val="0"/>
              <w:rPr>
                <w:rFonts w:ascii="Arial" w:hAnsi="Arial" w:cs="Arial"/>
                <w:sz w:val="20"/>
                <w:szCs w:val="20"/>
                <w:lang w:val="en-GB" w:eastAsia="en-GB"/>
              </w:rPr>
            </w:pPr>
            <w:r w:rsidRPr="000D2211">
              <w:rPr>
                <w:rFonts w:ascii="Arial" w:hAnsi="Arial" w:cs="Arial"/>
                <w:sz w:val="20"/>
                <w:szCs w:val="20"/>
                <w:lang w:val="en-GB" w:eastAsia="en-GB"/>
              </w:rPr>
              <w:t>H</w:t>
            </w:r>
            <w:r w:rsidR="00692969" w:rsidRPr="000D2211">
              <w:rPr>
                <w:rFonts w:ascii="Arial" w:hAnsi="Arial" w:cs="Arial"/>
                <w:sz w:val="20"/>
                <w:szCs w:val="20"/>
                <w:lang w:val="en-GB" w:eastAsia="en-GB"/>
              </w:rPr>
              <w:t xml:space="preserve">anna P, Suo T, </w:t>
            </w:r>
            <w:proofErr w:type="spellStart"/>
            <w:r w:rsidR="00692969" w:rsidRPr="000D2211">
              <w:rPr>
                <w:rFonts w:ascii="Arial" w:hAnsi="Arial" w:cs="Arial"/>
                <w:sz w:val="20"/>
                <w:szCs w:val="20"/>
                <w:lang w:val="en-GB" w:eastAsia="en-GB"/>
              </w:rPr>
              <w:t>Komossa</w:t>
            </w:r>
            <w:proofErr w:type="spellEnd"/>
            <w:r w:rsidR="00692969" w:rsidRPr="000D2211">
              <w:rPr>
                <w:rFonts w:ascii="Arial" w:hAnsi="Arial" w:cs="Arial"/>
                <w:sz w:val="20"/>
                <w:szCs w:val="20"/>
                <w:lang w:val="en-GB" w:eastAsia="en-GB"/>
              </w:rPr>
              <w:t xml:space="preserve"> K, Ma H, </w:t>
            </w:r>
            <w:proofErr w:type="spellStart"/>
            <w:r w:rsidR="00692969" w:rsidRPr="000D2211">
              <w:rPr>
                <w:rFonts w:ascii="Arial" w:hAnsi="Arial" w:cs="Arial"/>
                <w:sz w:val="20"/>
                <w:szCs w:val="20"/>
                <w:lang w:val="en-GB" w:eastAsia="en-GB"/>
              </w:rPr>
              <w:t>Rummel</w:t>
            </w:r>
            <w:proofErr w:type="spellEnd"/>
            <w:r w:rsidR="00692969" w:rsidRPr="000D2211">
              <w:rPr>
                <w:rFonts w:ascii="Arial" w:hAnsi="Arial" w:cs="Arial"/>
                <w:sz w:val="20"/>
                <w:szCs w:val="20"/>
                <w:lang w:val="en-GB" w:eastAsia="en-GB"/>
              </w:rPr>
              <w:t>-Kluge C, El-</w:t>
            </w:r>
            <w:proofErr w:type="spellStart"/>
            <w:r w:rsidR="00692969" w:rsidRPr="000D2211">
              <w:rPr>
                <w:rFonts w:ascii="Arial" w:hAnsi="Arial" w:cs="Arial"/>
                <w:sz w:val="20"/>
                <w:szCs w:val="20"/>
                <w:lang w:val="en-GB" w:eastAsia="en-GB"/>
              </w:rPr>
              <w:t>Sayeh</w:t>
            </w:r>
            <w:proofErr w:type="spellEnd"/>
            <w:r w:rsidR="00692969" w:rsidRPr="000D2211">
              <w:rPr>
                <w:rFonts w:ascii="Arial" w:hAnsi="Arial" w:cs="Arial"/>
                <w:sz w:val="20"/>
                <w:szCs w:val="20"/>
                <w:lang w:val="en-GB" w:eastAsia="en-GB"/>
              </w:rPr>
              <w:t xml:space="preserve"> HG, </w:t>
            </w:r>
            <w:proofErr w:type="spellStart"/>
            <w:r w:rsidR="00692969" w:rsidRPr="000D2211">
              <w:rPr>
                <w:rFonts w:ascii="Arial" w:hAnsi="Arial" w:cs="Arial"/>
                <w:sz w:val="20"/>
                <w:szCs w:val="20"/>
                <w:lang w:val="en-GB" w:eastAsia="en-GB"/>
              </w:rPr>
              <w:t>Leucht</w:t>
            </w:r>
            <w:proofErr w:type="spellEnd"/>
            <w:r w:rsidR="00692969" w:rsidRPr="000D2211">
              <w:rPr>
                <w:rFonts w:ascii="Arial" w:hAnsi="Arial" w:cs="Arial"/>
                <w:sz w:val="20"/>
                <w:szCs w:val="20"/>
                <w:lang w:val="en-GB" w:eastAsia="en-GB"/>
              </w:rPr>
              <w:t xml:space="preserve"> S,</w:t>
            </w:r>
            <w:r w:rsidR="006813BA" w:rsidRPr="000D2211">
              <w:rPr>
                <w:rFonts w:ascii="Arial" w:hAnsi="Arial" w:cs="Arial"/>
                <w:sz w:val="20"/>
                <w:szCs w:val="20"/>
                <w:lang w:val="en-GB" w:eastAsia="en-GB"/>
              </w:rPr>
              <w:t xml:space="preserve"> </w:t>
            </w:r>
            <w:r w:rsidR="00692969" w:rsidRPr="000D2211">
              <w:rPr>
                <w:rFonts w:ascii="Arial" w:hAnsi="Arial" w:cs="Arial"/>
                <w:sz w:val="20"/>
                <w:szCs w:val="20"/>
                <w:lang w:val="en-GB" w:eastAsia="en-GB"/>
              </w:rPr>
              <w:t>Xia J. Aripiprazole versus other atypical antipsychotics for schizophrenia.</w:t>
            </w:r>
            <w:r w:rsidR="006813BA" w:rsidRPr="000D2211">
              <w:rPr>
                <w:rFonts w:ascii="Arial" w:hAnsi="Arial" w:cs="Arial"/>
                <w:sz w:val="20"/>
                <w:szCs w:val="20"/>
                <w:lang w:val="en-GB" w:eastAsia="en-GB"/>
              </w:rPr>
              <w:t xml:space="preserve"> </w:t>
            </w:r>
            <w:r w:rsidR="00692969" w:rsidRPr="000D2211">
              <w:rPr>
                <w:rFonts w:ascii="Arial" w:hAnsi="Arial" w:cs="Arial"/>
                <w:sz w:val="20"/>
                <w:szCs w:val="20"/>
                <w:lang w:val="en-GB" w:eastAsia="en-GB"/>
              </w:rPr>
              <w:t>Cochrane Database of Systematic Reviews 2014, Issue 1. Art. No.: CD006569.</w:t>
            </w:r>
            <w:r w:rsidR="006813BA" w:rsidRPr="000D2211">
              <w:rPr>
                <w:rFonts w:ascii="Arial" w:hAnsi="Arial" w:cs="Arial"/>
                <w:sz w:val="20"/>
                <w:szCs w:val="20"/>
                <w:lang w:val="en-GB" w:eastAsia="en-GB"/>
              </w:rPr>
              <w:t xml:space="preserve"> </w:t>
            </w:r>
            <w:r w:rsidR="00692969" w:rsidRPr="000D2211">
              <w:rPr>
                <w:rFonts w:ascii="Arial" w:hAnsi="Arial" w:cs="Arial"/>
                <w:sz w:val="20"/>
                <w:szCs w:val="20"/>
                <w:lang w:val="en-GB" w:eastAsia="en-GB"/>
              </w:rPr>
              <w:t>DOI: 10.1002/14651858.CD006569.pub5.</w:t>
            </w:r>
            <w:r w:rsidR="006813BA" w:rsidRPr="000D2211">
              <w:rPr>
                <w:rFonts w:ascii="Arial" w:hAnsi="Arial" w:cs="Arial"/>
                <w:sz w:val="20"/>
                <w:szCs w:val="20"/>
                <w:lang w:val="en-GB" w:eastAsia="en-GB"/>
              </w:rPr>
              <w:t xml:space="preserve"> </w:t>
            </w:r>
            <w:hyperlink r:id="rId28" w:history="1">
              <w:r w:rsidR="00D46E41" w:rsidRPr="000D2211">
                <w:rPr>
                  <w:rStyle w:val="Hyperlink"/>
                  <w:rFonts w:ascii="Arial" w:hAnsi="Arial" w:cs="Arial"/>
                  <w:sz w:val="20"/>
                  <w:szCs w:val="20"/>
                  <w:lang w:val="en-GB" w:eastAsia="en-GB"/>
                </w:rPr>
                <w:t>http://onlinelibrary.wiley.com/doi/10.1002/14651858.CD006569.pub5/abstract</w:t>
              </w:r>
            </w:hyperlink>
          </w:p>
          <w:p w14:paraId="5C2FFE4D" w14:textId="46AEFBCF" w:rsidR="006813BA" w:rsidRPr="000D2211" w:rsidRDefault="00692969" w:rsidP="008D257D">
            <w:pPr>
              <w:pStyle w:val="ListParagraph"/>
              <w:numPr>
                <w:ilvl w:val="0"/>
                <w:numId w:val="31"/>
              </w:numPr>
              <w:autoSpaceDE w:val="0"/>
              <w:autoSpaceDN w:val="0"/>
              <w:adjustRightInd w:val="0"/>
              <w:rPr>
                <w:rFonts w:ascii="Arial" w:hAnsi="Arial" w:cs="Arial"/>
                <w:color w:val="000000"/>
                <w:sz w:val="20"/>
                <w:szCs w:val="20"/>
                <w:lang w:val="en-GB" w:eastAsia="en-GB"/>
              </w:rPr>
            </w:pPr>
            <w:proofErr w:type="spellStart"/>
            <w:r w:rsidRPr="000D2211">
              <w:rPr>
                <w:rFonts w:ascii="Arial" w:hAnsi="Arial" w:cs="Arial"/>
                <w:color w:val="000000"/>
                <w:sz w:val="20"/>
                <w:szCs w:val="20"/>
                <w:lang w:val="en-GB" w:eastAsia="en-GB"/>
              </w:rPr>
              <w:t>Kirson</w:t>
            </w:r>
            <w:proofErr w:type="spellEnd"/>
            <w:r w:rsidRPr="000D2211">
              <w:rPr>
                <w:rFonts w:ascii="Arial" w:hAnsi="Arial" w:cs="Arial"/>
                <w:color w:val="000000"/>
                <w:sz w:val="20"/>
                <w:szCs w:val="20"/>
                <w:lang w:val="en-GB" w:eastAsia="en-GB"/>
              </w:rPr>
              <w:t xml:space="preserve"> N.Y., </w:t>
            </w:r>
            <w:proofErr w:type="spellStart"/>
            <w:r w:rsidRPr="000D2211">
              <w:rPr>
                <w:rFonts w:ascii="Arial" w:hAnsi="Arial" w:cs="Arial"/>
                <w:color w:val="000000"/>
                <w:sz w:val="20"/>
                <w:szCs w:val="20"/>
                <w:lang w:val="en-GB" w:eastAsia="en-GB"/>
              </w:rPr>
              <w:t>Weiden</w:t>
            </w:r>
            <w:proofErr w:type="spellEnd"/>
            <w:r w:rsidRPr="000D2211">
              <w:rPr>
                <w:rFonts w:ascii="Arial" w:hAnsi="Arial" w:cs="Arial"/>
                <w:color w:val="000000"/>
                <w:sz w:val="20"/>
                <w:szCs w:val="20"/>
                <w:lang w:val="en-GB" w:eastAsia="en-GB"/>
              </w:rPr>
              <w:t xml:space="preserve"> P.J., </w:t>
            </w:r>
            <w:proofErr w:type="spellStart"/>
            <w:r w:rsidRPr="000D2211">
              <w:rPr>
                <w:rFonts w:ascii="Arial" w:hAnsi="Arial" w:cs="Arial"/>
                <w:color w:val="000000"/>
                <w:sz w:val="20"/>
                <w:szCs w:val="20"/>
                <w:lang w:val="en-GB" w:eastAsia="en-GB"/>
              </w:rPr>
              <w:t>Yermakov</w:t>
            </w:r>
            <w:proofErr w:type="spellEnd"/>
            <w:r w:rsidRPr="000D2211">
              <w:rPr>
                <w:rFonts w:ascii="Arial" w:hAnsi="Arial" w:cs="Arial"/>
                <w:color w:val="000000"/>
                <w:sz w:val="20"/>
                <w:szCs w:val="20"/>
                <w:lang w:val="en-GB" w:eastAsia="en-GB"/>
              </w:rPr>
              <w:t xml:space="preserve"> S., et al. Efficacy and effectiveness of depot</w:t>
            </w:r>
            <w:r w:rsidR="006813BA" w:rsidRPr="000D2211">
              <w:rPr>
                <w:rFonts w:ascii="Arial" w:hAnsi="Arial" w:cs="Arial"/>
                <w:color w:val="000000"/>
                <w:sz w:val="20"/>
                <w:szCs w:val="20"/>
                <w:lang w:val="en-GB" w:eastAsia="en-GB"/>
              </w:rPr>
              <w:t xml:space="preserve"> </w:t>
            </w:r>
            <w:r w:rsidRPr="000D2211">
              <w:rPr>
                <w:rFonts w:ascii="Arial" w:hAnsi="Arial" w:cs="Arial"/>
                <w:color w:val="000000"/>
                <w:sz w:val="20"/>
                <w:szCs w:val="20"/>
                <w:lang w:val="en-GB" w:eastAsia="en-GB"/>
              </w:rPr>
              <w:t>versus oral antipsychotics in schizophrenia: Synthesizing results across different</w:t>
            </w:r>
            <w:r w:rsidR="006813BA" w:rsidRPr="000D2211">
              <w:rPr>
                <w:rFonts w:ascii="Arial" w:hAnsi="Arial" w:cs="Arial"/>
                <w:color w:val="000000"/>
                <w:sz w:val="20"/>
                <w:szCs w:val="20"/>
                <w:lang w:val="en-GB" w:eastAsia="en-GB"/>
              </w:rPr>
              <w:t xml:space="preserve"> research designs. </w:t>
            </w:r>
            <w:r w:rsidRPr="000D2211">
              <w:rPr>
                <w:rFonts w:ascii="Arial" w:hAnsi="Arial" w:cs="Arial"/>
                <w:color w:val="000000"/>
                <w:sz w:val="20"/>
                <w:szCs w:val="20"/>
                <w:lang w:val="en-GB" w:eastAsia="en-GB"/>
              </w:rPr>
              <w:t xml:space="preserve">J Clin </w:t>
            </w:r>
            <w:r w:rsidR="00095046">
              <w:rPr>
                <w:rFonts w:ascii="Arial" w:hAnsi="Arial" w:cs="Arial"/>
                <w:color w:val="000000"/>
                <w:sz w:val="20"/>
                <w:szCs w:val="20"/>
                <w:lang w:val="en-GB" w:eastAsia="en-GB"/>
              </w:rPr>
              <w:t>Psychiatr</w:t>
            </w:r>
            <w:r w:rsidR="003B6C11">
              <w:rPr>
                <w:rFonts w:ascii="Arial" w:hAnsi="Arial" w:cs="Arial"/>
                <w:color w:val="000000"/>
                <w:sz w:val="20"/>
                <w:szCs w:val="20"/>
                <w:lang w:val="en-GB" w:eastAsia="en-GB"/>
              </w:rPr>
              <w:t>y</w:t>
            </w:r>
            <w:r w:rsidRPr="000D2211">
              <w:rPr>
                <w:rFonts w:ascii="Arial" w:hAnsi="Arial" w:cs="Arial"/>
                <w:color w:val="000000"/>
                <w:sz w:val="20"/>
                <w:szCs w:val="20"/>
                <w:lang w:val="en-GB" w:eastAsia="en-GB"/>
              </w:rPr>
              <w:t>,2013; 74: 568-575</w:t>
            </w:r>
          </w:p>
          <w:p w14:paraId="383BBD38" w14:textId="77777777" w:rsidR="00744865" w:rsidRPr="000D2211" w:rsidRDefault="00744865" w:rsidP="00744865">
            <w:pPr>
              <w:pStyle w:val="ListParagraph"/>
              <w:numPr>
                <w:ilvl w:val="0"/>
                <w:numId w:val="31"/>
              </w:numPr>
              <w:autoSpaceDE w:val="0"/>
              <w:autoSpaceDN w:val="0"/>
              <w:adjustRightInd w:val="0"/>
              <w:rPr>
                <w:rFonts w:ascii="Arial" w:eastAsia="SabonLTStd-Roman" w:hAnsi="Arial" w:cs="Arial"/>
                <w:sz w:val="20"/>
                <w:szCs w:val="20"/>
                <w:lang w:val="en-GB" w:eastAsia="en-GB"/>
              </w:rPr>
            </w:pPr>
            <w:r w:rsidRPr="000D2211">
              <w:rPr>
                <w:rFonts w:ascii="Arial" w:eastAsia="SabonLTStd-Roman" w:hAnsi="Arial" w:cs="Arial"/>
                <w:sz w:val="20"/>
                <w:szCs w:val="20"/>
                <w:lang w:val="en-GB" w:eastAsia="en-GB"/>
              </w:rPr>
              <w:t xml:space="preserve">Belmonte C et al. Evaluation of the relationship between pharmacokinetics and the safety of aripiprazole and its cardiovascular effects in healthy volunteers. J Clin </w:t>
            </w:r>
            <w:proofErr w:type="spellStart"/>
            <w:r w:rsidRPr="000D2211">
              <w:rPr>
                <w:rFonts w:ascii="Arial" w:eastAsia="SabonLTStd-Roman" w:hAnsi="Arial" w:cs="Arial"/>
                <w:sz w:val="20"/>
                <w:szCs w:val="20"/>
                <w:lang w:val="en-GB" w:eastAsia="en-GB"/>
              </w:rPr>
              <w:t>Psychopharmacol</w:t>
            </w:r>
            <w:proofErr w:type="spellEnd"/>
            <w:r w:rsidRPr="000D2211">
              <w:rPr>
                <w:rFonts w:ascii="Arial" w:eastAsia="SabonLTStd-Roman" w:hAnsi="Arial" w:cs="Arial"/>
                <w:sz w:val="20"/>
                <w:szCs w:val="20"/>
                <w:lang w:val="en-GB" w:eastAsia="en-GB"/>
              </w:rPr>
              <w:t xml:space="preserve"> 2016; </w:t>
            </w:r>
            <w:r w:rsidRPr="000D2211">
              <w:rPr>
                <w:rFonts w:ascii="Arial" w:eastAsia="SabonLTStd-Bold" w:hAnsi="Arial" w:cs="Arial"/>
                <w:b/>
                <w:bCs/>
                <w:sz w:val="20"/>
                <w:szCs w:val="20"/>
                <w:lang w:val="en-GB" w:eastAsia="en-GB"/>
              </w:rPr>
              <w:t>36</w:t>
            </w:r>
            <w:r w:rsidRPr="000D2211">
              <w:rPr>
                <w:rFonts w:ascii="Arial" w:eastAsia="SabonLTStd-Roman" w:hAnsi="Arial" w:cs="Arial"/>
                <w:sz w:val="20"/>
                <w:szCs w:val="20"/>
                <w:lang w:val="en-GB" w:eastAsia="en-GB"/>
              </w:rPr>
              <w:t>:608–614.</w:t>
            </w:r>
          </w:p>
          <w:p w14:paraId="66D6E0BD" w14:textId="7ACF749C" w:rsidR="0084650C" w:rsidRPr="000D2211" w:rsidRDefault="0084650C" w:rsidP="00744865">
            <w:pPr>
              <w:pStyle w:val="ListParagraph"/>
              <w:numPr>
                <w:ilvl w:val="0"/>
                <w:numId w:val="31"/>
              </w:numPr>
              <w:autoSpaceDE w:val="0"/>
              <w:autoSpaceDN w:val="0"/>
              <w:adjustRightInd w:val="0"/>
              <w:rPr>
                <w:rFonts w:ascii="Arial" w:eastAsia="SabonLTStd-Roman" w:hAnsi="Arial" w:cs="Arial"/>
                <w:sz w:val="20"/>
                <w:szCs w:val="20"/>
                <w:lang w:val="en-GB" w:eastAsia="en-GB"/>
              </w:rPr>
            </w:pPr>
            <w:r w:rsidRPr="000D2211">
              <w:rPr>
                <w:rFonts w:ascii="Arial" w:eastAsia="SabonLTStd-Roman" w:hAnsi="Arial" w:cs="Arial"/>
                <w:sz w:val="20"/>
                <w:szCs w:val="20"/>
                <w:lang w:val="en-GB" w:eastAsia="en-GB"/>
              </w:rPr>
              <w:t xml:space="preserve">Taylor D et al. The Maudsley Prescribing Guidelines in </w:t>
            </w:r>
            <w:r w:rsidR="003B6C11">
              <w:rPr>
                <w:rFonts w:ascii="Arial" w:eastAsia="SabonLTStd-Roman" w:hAnsi="Arial" w:cs="Arial"/>
                <w:sz w:val="20"/>
                <w:szCs w:val="20"/>
                <w:lang w:val="en-GB" w:eastAsia="en-GB"/>
              </w:rPr>
              <w:t>Psychiatry</w:t>
            </w:r>
            <w:r w:rsidRPr="000D2211">
              <w:rPr>
                <w:rFonts w:ascii="Arial" w:eastAsia="SabonLTStd-Roman" w:hAnsi="Arial" w:cs="Arial"/>
                <w:sz w:val="20"/>
                <w:szCs w:val="20"/>
                <w:lang w:val="en-GB" w:eastAsia="en-GB"/>
              </w:rPr>
              <w:t xml:space="preserve">. </w:t>
            </w:r>
            <w:r w:rsidRPr="00EA5D4D">
              <w:rPr>
                <w:rFonts w:ascii="Arial" w:eastAsia="SabonLTStd-Roman" w:hAnsi="Arial" w:cs="Arial"/>
                <w:b/>
                <w:sz w:val="20"/>
                <w:szCs w:val="20"/>
                <w:lang w:val="en-GB" w:eastAsia="en-GB"/>
              </w:rPr>
              <w:t>13</w:t>
            </w:r>
            <w:r w:rsidRPr="00EA5D4D">
              <w:rPr>
                <w:rFonts w:ascii="Arial" w:eastAsia="SabonLTStd-Roman" w:hAnsi="Arial" w:cs="Arial"/>
                <w:b/>
                <w:sz w:val="20"/>
                <w:szCs w:val="20"/>
                <w:vertAlign w:val="superscript"/>
                <w:lang w:val="en-GB" w:eastAsia="en-GB"/>
              </w:rPr>
              <w:t>th</w:t>
            </w:r>
            <w:r w:rsidRPr="00EA5D4D">
              <w:rPr>
                <w:rFonts w:ascii="Arial" w:eastAsia="SabonLTStd-Roman" w:hAnsi="Arial" w:cs="Arial"/>
                <w:b/>
                <w:sz w:val="20"/>
                <w:szCs w:val="20"/>
                <w:lang w:val="en-GB" w:eastAsia="en-GB"/>
              </w:rPr>
              <w:t xml:space="preserve"> Edition</w:t>
            </w:r>
            <w:r w:rsidR="00EA5D4D" w:rsidRPr="00EA5D4D">
              <w:rPr>
                <w:rFonts w:ascii="Arial" w:eastAsia="SabonLTStd-Roman" w:hAnsi="Arial" w:cs="Arial"/>
                <w:b/>
                <w:sz w:val="20"/>
                <w:szCs w:val="20"/>
                <w:lang w:val="en-GB" w:eastAsia="en-GB"/>
              </w:rPr>
              <w:t xml:space="preserve"> May 2018</w:t>
            </w:r>
          </w:p>
          <w:p w14:paraId="5C7892DE" w14:textId="77777777" w:rsidR="00834C7C" w:rsidRPr="008A5809" w:rsidRDefault="00692969" w:rsidP="008A5809">
            <w:pPr>
              <w:pStyle w:val="ListParagraph"/>
              <w:numPr>
                <w:ilvl w:val="0"/>
                <w:numId w:val="31"/>
              </w:numPr>
              <w:rPr>
                <w:rFonts w:ascii="Arial" w:hAnsi="Arial" w:cs="Arial"/>
                <w:sz w:val="22"/>
                <w:szCs w:val="18"/>
              </w:rPr>
            </w:pPr>
            <w:r w:rsidRPr="000D2211">
              <w:rPr>
                <w:rFonts w:ascii="Arial" w:hAnsi="Arial" w:cs="Arial"/>
                <w:color w:val="000000"/>
                <w:sz w:val="20"/>
                <w:szCs w:val="20"/>
                <w:lang w:val="en-GB" w:eastAsia="en-GB"/>
              </w:rPr>
              <w:t>UKMI patents database accessed 09 June 2014</w:t>
            </w:r>
          </w:p>
        </w:tc>
      </w:tr>
    </w:tbl>
    <w:p w14:paraId="61168614" w14:textId="77777777" w:rsidR="00834C7C" w:rsidRPr="00387F17" w:rsidRDefault="00834C7C" w:rsidP="006D7D33">
      <w:pPr>
        <w:tabs>
          <w:tab w:val="left" w:pos="3240"/>
        </w:tabs>
        <w:rPr>
          <w:sz w:val="24"/>
          <w:szCs w:val="24"/>
        </w:rPr>
      </w:pPr>
    </w:p>
    <w:sectPr w:rsidR="00834C7C" w:rsidRPr="00387F17" w:rsidSect="001A08BF">
      <w:headerReference w:type="default" r:id="rId29"/>
      <w:footerReference w:type="default" r:id="rId30"/>
      <w:headerReference w:type="first" r:id="rId31"/>
      <w:footerReference w:type="first" r:id="rId32"/>
      <w:pgSz w:w="11907" w:h="16840" w:code="9"/>
      <w:pgMar w:top="284" w:right="567" w:bottom="567" w:left="851" w:header="567"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3AEA" w14:textId="77777777" w:rsidR="00D80781" w:rsidRDefault="00D80781">
      <w:pPr>
        <w:pStyle w:val="DocumentMap"/>
      </w:pPr>
      <w:r>
        <w:separator/>
      </w:r>
    </w:p>
  </w:endnote>
  <w:endnote w:type="continuationSeparator" w:id="0">
    <w:p w14:paraId="3D56C04E" w14:textId="77777777" w:rsidR="00D80781" w:rsidRDefault="00D80781">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abonLTStd-Roman">
    <w:altName w:val="MS Mincho"/>
    <w:panose1 w:val="00000000000000000000"/>
    <w:charset w:val="80"/>
    <w:family w:val="roman"/>
    <w:notTrueType/>
    <w:pitch w:val="default"/>
    <w:sig w:usb0="00000000" w:usb1="08070000" w:usb2="00000010" w:usb3="00000000" w:csb0="00020000" w:csb1="00000000"/>
  </w:font>
  <w:font w:name="SabonLTStd-Bold">
    <w:altName w:val="MS Mincho"/>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7FB9" w14:textId="570398C0" w:rsidR="00176769" w:rsidRDefault="00176769"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C11">
      <w:rPr>
        <w:rStyle w:val="PageNumber"/>
        <w:noProof/>
      </w:rPr>
      <w:t>6</w:t>
    </w:r>
    <w:r>
      <w:rPr>
        <w:rStyle w:val="PageNumber"/>
      </w:rPr>
      <w:fldChar w:fldCharType="end"/>
    </w:r>
  </w:p>
  <w:p w14:paraId="6457BA57" w14:textId="77777777" w:rsidR="002132CF" w:rsidRPr="005714B9" w:rsidRDefault="002132CF" w:rsidP="002132CF">
    <w:pPr>
      <w:pStyle w:val="NoSpacing"/>
      <w:tabs>
        <w:tab w:val="left" w:pos="-720"/>
      </w:tabs>
      <w:ind w:left="-720" w:right="69"/>
      <w:jc w:val="center"/>
      <w:rPr>
        <w:color w:val="0070C0"/>
        <w:sz w:val="18"/>
        <w:lang w:eastAsia="en-GB"/>
      </w:rPr>
    </w:pPr>
    <w:r w:rsidRPr="005714B9">
      <w:rPr>
        <w:color w:val="0070C0"/>
        <w:sz w:val="18"/>
        <w:lang w:eastAsia="en-GB"/>
      </w:rPr>
      <w:t xml:space="preserve">South East London Integrated Medicines Optimisation Committee (SEL IMOC). A partnership between NHS organisations in South East London: South East London Clinical Commissioning Group (covering the boroughs of Bexley/Bromley/Greenwich/ Lambeth/Lewisham and Southwark) and GSTFT/KCH </w:t>
    </w:r>
    <w:r>
      <w:rPr>
        <w:color w:val="0070C0"/>
        <w:sz w:val="18"/>
        <w:lang w:eastAsia="en-GB"/>
      </w:rPr>
      <w:t>/SLa</w:t>
    </w:r>
    <w:r w:rsidRPr="005714B9">
      <w:rPr>
        <w:color w:val="0070C0"/>
        <w:sz w:val="18"/>
        <w:lang w:eastAsia="en-GB"/>
      </w:rPr>
      <w:t xml:space="preserve">M/ </w:t>
    </w:r>
    <w:proofErr w:type="spellStart"/>
    <w:r w:rsidRPr="005714B9">
      <w:rPr>
        <w:color w:val="0070C0"/>
        <w:sz w:val="18"/>
        <w:lang w:eastAsia="en-GB"/>
      </w:rPr>
      <w:t>Oxleas</w:t>
    </w:r>
    <w:proofErr w:type="spellEnd"/>
    <w:r w:rsidRPr="005714B9">
      <w:rPr>
        <w:color w:val="0070C0"/>
        <w:sz w:val="18"/>
        <w:lang w:eastAsia="en-GB"/>
      </w:rPr>
      <w:t xml:space="preserve"> NHS Foundation Trusts and Lewisham &amp; Greenwich NHS Trust</w:t>
    </w:r>
  </w:p>
  <w:p w14:paraId="0E9785CC" w14:textId="77777777" w:rsidR="00176769" w:rsidRPr="00F910B9" w:rsidRDefault="00176769"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r>
    <w:r w:rsidRPr="00F910B9">
      <w:rPr>
        <w:rFonts w:ascii="Arial" w:hAnsi="Arial" w:cs="Arial"/>
        <w:b/>
        <w:bCs/>
        <w:sz w:val="17"/>
        <w:szCs w:val="17"/>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33D4" w14:textId="77777777" w:rsidR="002132CF" w:rsidRPr="005714B9" w:rsidRDefault="002132CF" w:rsidP="002132CF">
    <w:pPr>
      <w:pStyle w:val="NoSpacing"/>
      <w:tabs>
        <w:tab w:val="left" w:pos="-720"/>
      </w:tabs>
      <w:ind w:left="-720" w:right="69"/>
      <w:jc w:val="center"/>
      <w:rPr>
        <w:color w:val="0070C0"/>
        <w:sz w:val="18"/>
        <w:lang w:eastAsia="en-GB"/>
      </w:rPr>
    </w:pPr>
    <w:r w:rsidRPr="005714B9">
      <w:rPr>
        <w:color w:val="0070C0"/>
        <w:sz w:val="18"/>
        <w:lang w:eastAsia="en-GB"/>
      </w:rPr>
      <w:t xml:space="preserve">South East London Integrated Medicines Optimisation Committee (SEL IMOC). A partnership between NHS organisations in South East London: South East London Clinical Commissioning Group (covering the boroughs of Bexley/Bromley/Greenwich/ Lambeth/Lewisham and Southwark) and GSTFT/KCH </w:t>
    </w:r>
    <w:r>
      <w:rPr>
        <w:color w:val="0070C0"/>
        <w:sz w:val="18"/>
        <w:lang w:eastAsia="en-GB"/>
      </w:rPr>
      <w:t>/SLa</w:t>
    </w:r>
    <w:r w:rsidRPr="005714B9">
      <w:rPr>
        <w:color w:val="0070C0"/>
        <w:sz w:val="18"/>
        <w:lang w:eastAsia="en-GB"/>
      </w:rPr>
      <w:t xml:space="preserve">M/ </w:t>
    </w:r>
    <w:proofErr w:type="spellStart"/>
    <w:r w:rsidRPr="005714B9">
      <w:rPr>
        <w:color w:val="0070C0"/>
        <w:sz w:val="18"/>
        <w:lang w:eastAsia="en-GB"/>
      </w:rPr>
      <w:t>Oxleas</w:t>
    </w:r>
    <w:proofErr w:type="spellEnd"/>
    <w:r w:rsidRPr="005714B9">
      <w:rPr>
        <w:color w:val="0070C0"/>
        <w:sz w:val="18"/>
        <w:lang w:eastAsia="en-GB"/>
      </w:rPr>
      <w:t xml:space="preserve"> NHS Foundation Trusts and Lewisham &amp; Greenwich NHS Trust</w:t>
    </w:r>
  </w:p>
  <w:sdt>
    <w:sdtPr>
      <w:id w:val="-2140861544"/>
      <w:docPartObj>
        <w:docPartGallery w:val="Page Numbers (Bottom of Page)"/>
        <w:docPartUnique/>
      </w:docPartObj>
    </w:sdtPr>
    <w:sdtEndPr>
      <w:rPr>
        <w:noProof/>
      </w:rPr>
    </w:sdtEndPr>
    <w:sdtContent>
      <w:p w14:paraId="7A9D2D8E" w14:textId="3D84F2F8" w:rsidR="00176769" w:rsidRDefault="00176769">
        <w:pPr>
          <w:pStyle w:val="Footer"/>
          <w:jc w:val="right"/>
        </w:pPr>
        <w:r w:rsidRPr="006C4EA3">
          <w:rPr>
            <w:rFonts w:ascii="Arial" w:hAnsi="Arial" w:cs="Arial"/>
          </w:rPr>
          <w:fldChar w:fldCharType="begin"/>
        </w:r>
        <w:r w:rsidRPr="006C4EA3">
          <w:rPr>
            <w:rFonts w:ascii="Arial" w:hAnsi="Arial" w:cs="Arial"/>
          </w:rPr>
          <w:instrText xml:space="preserve"> PAGE   \* MERGEFORMAT </w:instrText>
        </w:r>
        <w:r w:rsidRPr="006C4EA3">
          <w:rPr>
            <w:rFonts w:ascii="Arial" w:hAnsi="Arial" w:cs="Arial"/>
          </w:rPr>
          <w:fldChar w:fldCharType="separate"/>
        </w:r>
        <w:r w:rsidR="003B6C11">
          <w:rPr>
            <w:rFonts w:ascii="Arial" w:hAnsi="Arial" w:cs="Arial"/>
            <w:noProof/>
          </w:rPr>
          <w:t>1</w:t>
        </w:r>
        <w:r w:rsidRPr="006C4EA3">
          <w:rPr>
            <w:rFonts w:ascii="Arial" w:hAnsi="Arial" w:cs="Arial"/>
            <w:noProof/>
          </w:rPr>
          <w:fldChar w:fldCharType="end"/>
        </w:r>
      </w:p>
    </w:sdtContent>
  </w:sdt>
  <w:p w14:paraId="7AE99BD7" w14:textId="77777777" w:rsidR="00176769" w:rsidRPr="00570354" w:rsidRDefault="00176769" w:rsidP="00570354">
    <w:pPr>
      <w:pStyle w:val="Footer"/>
      <w:tabs>
        <w:tab w:val="clear" w:pos="8306"/>
        <w:tab w:val="right" w:pos="10065"/>
      </w:tabs>
      <w:ind w:left="-567"/>
      <w:jc w:val="center"/>
      <w:rPr>
        <w:rFonts w:ascii="Calibri" w:hAnsi="Calibri"/>
        <w:color w:val="3366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EC90" w14:textId="77777777" w:rsidR="00D80781" w:rsidRDefault="00D80781">
      <w:pPr>
        <w:pStyle w:val="DocumentMap"/>
      </w:pPr>
      <w:r>
        <w:separator/>
      </w:r>
    </w:p>
  </w:footnote>
  <w:footnote w:type="continuationSeparator" w:id="0">
    <w:p w14:paraId="59C2862A" w14:textId="77777777" w:rsidR="00D80781" w:rsidRDefault="00D80781">
      <w:pPr>
        <w:pStyle w:val="DocumentM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BBA5" w14:textId="1AF1901C" w:rsidR="00176769" w:rsidRDefault="00176769" w:rsidP="00B018B4">
    <w:pPr>
      <w:pStyle w:val="Header"/>
      <w:ind w:right="-57"/>
      <w:rPr>
        <w:rFonts w:ascii="Arial" w:hAnsi="Arial" w:cs="Arial"/>
        <w:b/>
        <w:bCs/>
        <w:sz w:val="18"/>
        <w:szCs w:val="18"/>
      </w:rPr>
    </w:pPr>
    <w:r>
      <w:rPr>
        <w:rFonts w:ascii="Arial" w:hAnsi="Arial" w:cs="Arial"/>
        <w:b/>
        <w:bCs/>
        <w:sz w:val="18"/>
        <w:szCs w:val="18"/>
      </w:rPr>
      <w:t xml:space="preserve">Ref: </w:t>
    </w:r>
    <w:r w:rsidR="00A26729">
      <w:rPr>
        <w:rFonts w:ascii="Arial" w:hAnsi="Arial" w:cs="Arial"/>
        <w:bCs/>
        <w:sz w:val="18"/>
        <w:szCs w:val="18"/>
      </w:rPr>
      <w:t>APCSCG</w:t>
    </w:r>
    <w:r>
      <w:rPr>
        <w:rFonts w:ascii="Arial" w:hAnsi="Arial" w:cs="Arial"/>
        <w:bCs/>
        <w:sz w:val="18"/>
        <w:szCs w:val="18"/>
      </w:rPr>
      <w:t>003</w:t>
    </w:r>
  </w:p>
  <w:p w14:paraId="1DD45C90" w14:textId="260932D3" w:rsidR="000D006F" w:rsidRDefault="0011162F" w:rsidP="002132CF">
    <w:pPr>
      <w:pStyle w:val="Header"/>
      <w:ind w:right="-57"/>
      <w:rPr>
        <w:rFonts w:ascii="Arial" w:hAnsi="Arial" w:cs="Arial"/>
        <w:bCs/>
        <w:sz w:val="18"/>
        <w:szCs w:val="18"/>
      </w:rPr>
    </w:pPr>
    <w:r>
      <w:rPr>
        <w:noProof/>
        <w:lang w:val="en-GB" w:eastAsia="en-GB"/>
      </w:rPr>
      <mc:AlternateContent>
        <mc:Choice Requires="wps">
          <w:drawing>
            <wp:anchor distT="0" distB="0" distL="114300" distR="114300" simplePos="0" relativeHeight="251659776" behindDoc="0" locked="0" layoutInCell="1" allowOverlap="1" wp14:anchorId="5575CC00" wp14:editId="231FED39">
              <wp:simplePos x="0" y="0"/>
              <wp:positionH relativeFrom="column">
                <wp:posOffset>5765165</wp:posOffset>
              </wp:positionH>
              <wp:positionV relativeFrom="paragraph">
                <wp:posOffset>108585</wp:posOffset>
              </wp:positionV>
              <wp:extent cx="1000125"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01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9F97B" w14:textId="77777777" w:rsidR="0011162F" w:rsidRDefault="0011162F">
                          <w:r>
                            <w:rPr>
                              <w:noProof/>
                              <w:sz w:val="24"/>
                              <w:szCs w:val="24"/>
                              <w:lang w:val="en-GB" w:eastAsia="en-GB"/>
                            </w:rPr>
                            <w:drawing>
                              <wp:inline distT="0" distB="0" distL="0" distR="0" wp14:anchorId="79DBF7C7" wp14:editId="06BD7C31">
                                <wp:extent cx="734695" cy="30612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3061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5CC00" id="_x0000_t202" coordsize="21600,21600" o:spt="202" path="m,l,21600r21600,l21600,xe">
              <v:stroke joinstyle="miter"/>
              <v:path gradientshapeok="t" o:connecttype="rect"/>
            </v:shapetype>
            <v:shape id="Text Box 1" o:spid="_x0000_s1026" type="#_x0000_t202" style="position:absolute;margin-left:453.95pt;margin-top:8.55pt;width:78.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GewIAAGIFAAAOAAAAZHJzL2Uyb0RvYy54bWysVFFPGzEMfp+0/xDlfdy1FMYqrqgDMU1C&#10;gFYmntNcQk9L4ixJe9f9euzctXRsL0x7uXPsz4792c75RWcN26gQG3AVHx2VnCknoW7cU8W/P1x/&#10;OOMsJuFqYcCpim9V5Bez9+/OWz9VY1iBqVVgGMTFaesrvkrJT4siypWyIh6BVw6NGoIVCY/hqaiD&#10;aDG6NcW4LE+LFkLtA0gVI2qveiOf5fhaK5nutI4qMVNxzC3lb8jfJX2L2bmYPgXhV40c0hD/kIUV&#10;jcNL96GuRBJsHZo/QtlGBoig05EEW4DWjVS5BqxmVL6qZrESXuVakJzo9zTF/xdW3m7uA2tq7B1n&#10;Tlhs0YPqEvsMHRsRO62PUwQtPMJSh2pCDvqISiq608HSH8thaEeet3tuKZgkp7IsR+MTziTaJsdn&#10;o5NMfvHi7UNMXxRYRkLFA/YuUyo2NzHhjQjdQegyB9eNMbl/xrG24qfHGPI3C3oYRxqVJ2EIQxX1&#10;mWcpbY0ijHHflEYmcgGkyDOoLk1gG4HTI6RULuXac1xEE0pjEm9xHPAvWb3Fua9jdzO4tHe2jYOQ&#10;q3+Vdv1jl7Lu8UjkQd0kpm7ZDR1dQr3FRgfoFyV6ed1gN25ETPci4GZgb3Hb0x1+tAFkHQaJsxWE&#10;X3/TEx4HFq2ctbhpFY8/1yIozsxXh6P8aTSZ0Grmw+Tk4xgP4dCyPLS4tb0EbAeOK2aXRcInsxN1&#10;APuIj8KcbkWTcBLvrnjaiZep3398VKSazzMIl9GLdOMWXlJo6g7N2kP3KIIfBjLhKN/CbifF9NVc&#10;9ljydDBfJ9BNHloiuGd1IB4XOc/y8OjQS3F4zqiXp3H2DAAA//8DAFBLAwQUAAYACAAAACEAlE6C&#10;P+EAAAAKAQAADwAAAGRycy9kb3ducmV2LnhtbEyPwU7DMBBE70j8g7VI3KidiqZpiFNVkSokBIeW&#10;XrhtYjeJsNchdtvA1+Oe4Liap5m3xXqyhp316HtHEpKZAKapcaqnVsLhffuQAfMBSaFxpCV8aw/r&#10;8vamwFy5C+30eR9aFkvI5yihC2HIOfdNpy36mRs0xezoRoshnmPL1YiXWG4NnwuRcos9xYUOB111&#10;uvncn6yEl2r7hrt6brMfUz2/HjfD1+FjIeX93bR5Ahb0FP5guOpHdSijU+1OpDwzElZiuYpoDJYJ&#10;sCsg0sUjsFpClibAy4L/f6H8BQAA//8DAFBLAQItABQABgAIAAAAIQC2gziS/gAAAOEBAAATAAAA&#10;AAAAAAAAAAAAAAAAAABbQ29udGVudF9UeXBlc10ueG1sUEsBAi0AFAAGAAgAAAAhADj9If/WAAAA&#10;lAEAAAsAAAAAAAAAAAAAAAAALwEAAF9yZWxzLy5yZWxzUEsBAi0AFAAGAAgAAAAhADL+zoZ7AgAA&#10;YgUAAA4AAAAAAAAAAAAAAAAALgIAAGRycy9lMm9Eb2MueG1sUEsBAi0AFAAGAAgAAAAhAJROgj/h&#10;AAAACgEAAA8AAAAAAAAAAAAAAAAA1QQAAGRycy9kb3ducmV2LnhtbFBLBQYAAAAABAAEAPMAAADj&#10;BQAAAAA=&#10;" filled="f" stroked="f" strokeweight=".5pt">
              <v:textbox>
                <w:txbxContent>
                  <w:p w14:paraId="36C9F97B" w14:textId="77777777" w:rsidR="0011162F" w:rsidRDefault="0011162F">
                    <w:r>
                      <w:rPr>
                        <w:noProof/>
                        <w:sz w:val="24"/>
                        <w:szCs w:val="24"/>
                        <w:lang w:val="en-GB" w:eastAsia="en-GB"/>
                      </w:rPr>
                      <w:drawing>
                        <wp:inline distT="0" distB="0" distL="0" distR="0" wp14:anchorId="79DBF7C7" wp14:editId="06BD7C31">
                          <wp:extent cx="734695" cy="30612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695" cy="306123"/>
                                  </a:xfrm>
                                  <a:prstGeom prst="rect">
                                    <a:avLst/>
                                  </a:prstGeom>
                                  <a:noFill/>
                                  <a:ln>
                                    <a:noFill/>
                                  </a:ln>
                                </pic:spPr>
                              </pic:pic>
                            </a:graphicData>
                          </a:graphic>
                        </wp:inline>
                      </w:drawing>
                    </w:r>
                  </w:p>
                </w:txbxContent>
              </v:textbox>
            </v:shape>
          </w:pict>
        </mc:Fallback>
      </mc:AlternateContent>
    </w:r>
    <w:r w:rsidR="00176769" w:rsidRPr="00C87176">
      <w:rPr>
        <w:rFonts w:ascii="Arial" w:hAnsi="Arial" w:cs="Arial"/>
        <w:b/>
        <w:bCs/>
        <w:sz w:val="18"/>
        <w:szCs w:val="18"/>
      </w:rPr>
      <w:t>South East London Shared Care Prescribing Guideline</w:t>
    </w:r>
    <w:r w:rsidR="00176769">
      <w:rPr>
        <w:rFonts w:ascii="Arial" w:hAnsi="Arial" w:cs="Arial"/>
        <w:b/>
        <w:bCs/>
        <w:sz w:val="18"/>
        <w:szCs w:val="18"/>
      </w:rPr>
      <w:t>:</w:t>
    </w:r>
    <w:r w:rsidR="00176769" w:rsidRPr="00C87176">
      <w:rPr>
        <w:rFonts w:ascii="Arial" w:hAnsi="Arial" w:cs="Arial"/>
        <w:b/>
        <w:bCs/>
        <w:sz w:val="18"/>
        <w:szCs w:val="18"/>
      </w:rPr>
      <w:t xml:space="preserve"> </w:t>
    </w:r>
    <w:r w:rsidR="00176769">
      <w:rPr>
        <w:rFonts w:ascii="Arial" w:hAnsi="Arial" w:cs="Arial"/>
        <w:b/>
        <w:bCs/>
        <w:sz w:val="18"/>
        <w:szCs w:val="18"/>
      </w:rPr>
      <w:t xml:space="preserve">Aripiprazole </w:t>
    </w:r>
    <w:r w:rsidR="00FA03F3">
      <w:rPr>
        <w:rFonts w:ascii="Arial" w:hAnsi="Arial" w:cs="Arial"/>
        <w:b/>
        <w:bCs/>
        <w:sz w:val="18"/>
        <w:szCs w:val="18"/>
      </w:rPr>
      <w:t>long-acting injection</w:t>
    </w:r>
    <w:r w:rsidR="00176769" w:rsidRPr="003D38C8">
      <w:rPr>
        <w:rFonts w:ascii="Arial" w:hAnsi="Arial" w:cs="Arial"/>
        <w:b/>
        <w:bCs/>
        <w:sz w:val="18"/>
        <w:szCs w:val="18"/>
      </w:rPr>
      <w:t xml:space="preserve"> for the treatment of schizophrenia in adults</w:t>
    </w:r>
    <w:r w:rsidR="002132CF">
      <w:rPr>
        <w:rFonts w:ascii="Arial" w:hAnsi="Arial" w:cs="Arial"/>
        <w:b/>
        <w:bCs/>
        <w:sz w:val="18"/>
        <w:szCs w:val="18"/>
      </w:rPr>
      <w:t>.  Date originally approved</w:t>
    </w:r>
    <w:r w:rsidR="002132CF" w:rsidRPr="00C87176">
      <w:rPr>
        <w:rFonts w:ascii="Arial" w:hAnsi="Arial" w:cs="Arial"/>
        <w:b/>
        <w:bCs/>
        <w:sz w:val="18"/>
        <w:szCs w:val="18"/>
      </w:rPr>
      <w:t xml:space="preserve">: </w:t>
    </w:r>
    <w:r w:rsidR="002132CF">
      <w:rPr>
        <w:rFonts w:ascii="Arial" w:hAnsi="Arial" w:cs="Arial"/>
        <w:bCs/>
        <w:sz w:val="18"/>
        <w:szCs w:val="18"/>
      </w:rPr>
      <w:t>April 201</w:t>
    </w:r>
    <w:r w:rsidR="000D006F">
      <w:rPr>
        <w:rFonts w:ascii="Arial" w:hAnsi="Arial" w:cs="Arial"/>
        <w:bCs/>
        <w:sz w:val="18"/>
        <w:szCs w:val="18"/>
      </w:rPr>
      <w:t>5</w:t>
    </w:r>
    <w:r w:rsidR="002132CF">
      <w:rPr>
        <w:rFonts w:ascii="Arial" w:hAnsi="Arial" w:cs="Arial"/>
        <w:bCs/>
        <w:sz w:val="18"/>
        <w:szCs w:val="18"/>
      </w:rPr>
      <w:t xml:space="preserve">.  </w:t>
    </w:r>
    <w:r w:rsidR="002132CF" w:rsidRPr="002132CF">
      <w:rPr>
        <w:rFonts w:ascii="Arial" w:hAnsi="Arial" w:cs="Arial"/>
        <w:b/>
        <w:bCs/>
        <w:sz w:val="18"/>
        <w:szCs w:val="18"/>
      </w:rPr>
      <w:t>Last reviewe</w:t>
    </w:r>
    <w:r w:rsidR="000D006F">
      <w:rPr>
        <w:rFonts w:ascii="Arial" w:hAnsi="Arial" w:cs="Arial"/>
        <w:b/>
        <w:bCs/>
        <w:sz w:val="18"/>
        <w:szCs w:val="18"/>
      </w:rPr>
      <w:t>d</w:t>
    </w:r>
    <w:r w:rsidR="002132CF" w:rsidRPr="002132CF">
      <w:rPr>
        <w:rFonts w:ascii="Arial" w:hAnsi="Arial" w:cs="Arial"/>
        <w:b/>
        <w:bCs/>
        <w:sz w:val="18"/>
        <w:szCs w:val="18"/>
      </w:rPr>
      <w:t>:</w:t>
    </w:r>
    <w:r w:rsidR="002132CF">
      <w:rPr>
        <w:rFonts w:ascii="Arial" w:hAnsi="Arial" w:cs="Arial"/>
        <w:b/>
        <w:bCs/>
        <w:sz w:val="18"/>
        <w:szCs w:val="18"/>
      </w:rPr>
      <w:t xml:space="preserve"> </w:t>
    </w:r>
    <w:r w:rsidR="002132CF">
      <w:rPr>
        <w:rFonts w:ascii="Arial" w:hAnsi="Arial" w:cs="Arial"/>
        <w:bCs/>
        <w:sz w:val="18"/>
        <w:szCs w:val="18"/>
      </w:rPr>
      <w:t>March 2021</w:t>
    </w:r>
    <w:r w:rsidR="000D006F">
      <w:rPr>
        <w:rFonts w:ascii="Arial" w:hAnsi="Arial" w:cs="Arial"/>
        <w:bCs/>
        <w:sz w:val="18"/>
        <w:szCs w:val="18"/>
      </w:rPr>
      <w:t xml:space="preserve">. </w:t>
    </w:r>
  </w:p>
  <w:p w14:paraId="7659C3B5" w14:textId="76721762" w:rsidR="002132CF" w:rsidRPr="000D006F" w:rsidRDefault="000D006F" w:rsidP="002132CF">
    <w:pPr>
      <w:pStyle w:val="Header"/>
      <w:ind w:right="-57"/>
      <w:rPr>
        <w:rFonts w:ascii="Arial" w:hAnsi="Arial" w:cs="Arial"/>
        <w:bCs/>
        <w:sz w:val="18"/>
        <w:szCs w:val="18"/>
      </w:rPr>
    </w:pPr>
    <w:r w:rsidRPr="000D006F">
      <w:rPr>
        <w:rFonts w:ascii="Arial" w:hAnsi="Arial" w:cs="Arial"/>
        <w:b/>
        <w:sz w:val="18"/>
        <w:szCs w:val="18"/>
      </w:rPr>
      <w:t>Approved:</w:t>
    </w:r>
    <w:r w:rsidR="002132CF">
      <w:rPr>
        <w:rFonts w:ascii="Arial" w:hAnsi="Arial" w:cs="Arial"/>
        <w:bCs/>
        <w:sz w:val="18"/>
        <w:szCs w:val="18"/>
      </w:rPr>
      <w:t xml:space="preserve"> </w:t>
    </w:r>
    <w:r w:rsidR="003E71F4">
      <w:rPr>
        <w:rFonts w:ascii="Arial" w:hAnsi="Arial" w:cs="Arial"/>
        <w:bCs/>
        <w:sz w:val="18"/>
        <w:szCs w:val="18"/>
      </w:rPr>
      <w:t>April</w:t>
    </w:r>
    <w:r w:rsidRPr="000D006F">
      <w:rPr>
        <w:rFonts w:ascii="Arial" w:hAnsi="Arial" w:cs="Arial"/>
        <w:bCs/>
        <w:sz w:val="18"/>
        <w:szCs w:val="18"/>
      </w:rPr>
      <w:t xml:space="preserve"> 2021.</w:t>
    </w:r>
    <w:r>
      <w:rPr>
        <w:rFonts w:ascii="Arial" w:hAnsi="Arial" w:cs="Arial"/>
        <w:b/>
        <w:sz w:val="18"/>
        <w:szCs w:val="18"/>
      </w:rPr>
      <w:t xml:space="preserve"> </w:t>
    </w:r>
    <w:r w:rsidR="002132CF">
      <w:rPr>
        <w:rFonts w:ascii="Arial" w:hAnsi="Arial" w:cs="Arial"/>
        <w:b/>
        <w:bCs/>
        <w:sz w:val="18"/>
        <w:szCs w:val="18"/>
      </w:rPr>
      <w:t xml:space="preserve">Next review date: </w:t>
    </w:r>
    <w:r w:rsidR="00E95062">
      <w:rPr>
        <w:rFonts w:ascii="Arial" w:hAnsi="Arial" w:cs="Arial"/>
        <w:bCs/>
        <w:sz w:val="18"/>
        <w:szCs w:val="18"/>
      </w:rPr>
      <w:t>April</w:t>
    </w:r>
    <w:r w:rsidR="002132CF">
      <w:rPr>
        <w:rFonts w:ascii="Arial" w:hAnsi="Arial" w:cs="Arial"/>
        <w:bCs/>
        <w:sz w:val="18"/>
        <w:szCs w:val="18"/>
      </w:rPr>
      <w:t xml:space="preserve"> 2024</w:t>
    </w:r>
    <w:r w:rsidR="002132CF">
      <w:rPr>
        <w:rFonts w:ascii="Arial" w:hAnsi="Arial" w:cs="Arial"/>
        <w:b/>
        <w:bCs/>
        <w:sz w:val="18"/>
        <w:szCs w:val="18"/>
      </w:rPr>
      <w:t xml:space="preserve"> </w:t>
    </w:r>
    <w:r w:rsidR="002132CF" w:rsidRPr="0002013F">
      <w:rPr>
        <w:rFonts w:ascii="Arial" w:hAnsi="Arial" w:cs="Arial"/>
        <w:bCs/>
        <w:sz w:val="18"/>
        <w:szCs w:val="18"/>
      </w:rPr>
      <w:t>or sooner</w:t>
    </w:r>
    <w:r w:rsidR="002132CF">
      <w:rPr>
        <w:rFonts w:ascii="Arial" w:hAnsi="Arial" w:cs="Arial"/>
        <w:bCs/>
        <w:sz w:val="18"/>
        <w:szCs w:val="18"/>
      </w:rPr>
      <w:t xml:space="preserve"> </w:t>
    </w:r>
    <w:r w:rsidR="002132CF" w:rsidRPr="0002013F">
      <w:rPr>
        <w:rFonts w:ascii="Arial" w:hAnsi="Arial" w:cs="Arial"/>
        <w:bCs/>
        <w:sz w:val="18"/>
        <w:szCs w:val="18"/>
      </w:rPr>
      <w:t>if the evidence or practice changes.</w:t>
    </w:r>
  </w:p>
  <w:p w14:paraId="2D9B369E" w14:textId="77777777" w:rsidR="00176769" w:rsidRPr="00553F94" w:rsidRDefault="00176769" w:rsidP="00B7598A">
    <w:pPr>
      <w:pStyle w:val="Header"/>
      <w:rPr>
        <w:rFonts w:ascii="Arial" w:hAnsi="Arial" w:cs="Arial"/>
        <w:b/>
        <w:bCs/>
        <w:sz w:val="1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83B2" w14:textId="373B93D3" w:rsidR="00176769" w:rsidRDefault="00176769" w:rsidP="0002013F">
    <w:pPr>
      <w:pStyle w:val="Header"/>
      <w:ind w:right="-57"/>
      <w:rPr>
        <w:rFonts w:ascii="Arial" w:hAnsi="Arial" w:cs="Arial"/>
        <w:b/>
        <w:bCs/>
        <w:sz w:val="18"/>
        <w:szCs w:val="18"/>
      </w:rPr>
    </w:pPr>
    <w:r>
      <w:rPr>
        <w:rFonts w:ascii="Arial" w:hAnsi="Arial" w:cs="Arial"/>
        <w:b/>
        <w:bCs/>
        <w:sz w:val="18"/>
        <w:szCs w:val="18"/>
      </w:rPr>
      <w:t xml:space="preserve">Ref: </w:t>
    </w:r>
    <w:r w:rsidR="00A26729">
      <w:rPr>
        <w:rFonts w:ascii="Arial" w:hAnsi="Arial" w:cs="Arial"/>
        <w:bCs/>
        <w:sz w:val="18"/>
        <w:szCs w:val="18"/>
      </w:rPr>
      <w:t>APCSCG</w:t>
    </w:r>
    <w:r>
      <w:rPr>
        <w:rFonts w:ascii="Arial" w:hAnsi="Arial" w:cs="Arial"/>
        <w:bCs/>
        <w:sz w:val="18"/>
        <w:szCs w:val="18"/>
      </w:rPr>
      <w:t>003</w:t>
    </w:r>
  </w:p>
  <w:p w14:paraId="4B4B7B47" w14:textId="36450B7C" w:rsidR="002132CF" w:rsidRPr="000D006F" w:rsidRDefault="0011162F" w:rsidP="002132CF">
    <w:pPr>
      <w:pStyle w:val="Header"/>
      <w:ind w:right="-57"/>
      <w:rPr>
        <w:rFonts w:ascii="Arial" w:hAnsi="Arial" w:cs="Arial"/>
        <w:b/>
        <w:bCs/>
        <w:sz w:val="18"/>
        <w:szCs w:val="18"/>
      </w:rPr>
    </w:pPr>
    <w:r>
      <w:rPr>
        <w:noProof/>
        <w:lang w:val="en-GB" w:eastAsia="en-GB"/>
      </w:rPr>
      <mc:AlternateContent>
        <mc:Choice Requires="wps">
          <w:drawing>
            <wp:anchor distT="0" distB="0" distL="114300" distR="114300" simplePos="0" relativeHeight="251662336" behindDoc="0" locked="0" layoutInCell="1" allowOverlap="1" wp14:anchorId="1ADC79A7" wp14:editId="1733BC42">
              <wp:simplePos x="0" y="0"/>
              <wp:positionH relativeFrom="column">
                <wp:posOffset>5746115</wp:posOffset>
              </wp:positionH>
              <wp:positionV relativeFrom="paragraph">
                <wp:posOffset>127635</wp:posOffset>
              </wp:positionV>
              <wp:extent cx="1000125"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00125" cy="438150"/>
                      </a:xfrm>
                      <a:prstGeom prst="rect">
                        <a:avLst/>
                      </a:prstGeom>
                      <a:noFill/>
                      <a:ln w="6350">
                        <a:noFill/>
                      </a:ln>
                      <a:effectLst/>
                    </wps:spPr>
                    <wps:txbx>
                      <w:txbxContent>
                        <w:p w14:paraId="03AE62D0" w14:textId="77777777" w:rsidR="0011162F" w:rsidRDefault="0011162F" w:rsidP="0011162F">
                          <w:r>
                            <w:rPr>
                              <w:noProof/>
                              <w:sz w:val="24"/>
                              <w:szCs w:val="24"/>
                              <w:lang w:val="en-GB" w:eastAsia="en-GB"/>
                            </w:rPr>
                            <w:drawing>
                              <wp:inline distT="0" distB="0" distL="0" distR="0" wp14:anchorId="2E5210AF" wp14:editId="1D56DBD9">
                                <wp:extent cx="734695" cy="30612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3061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C79A7" id="_x0000_t202" coordsize="21600,21600" o:spt="202" path="m,l,21600r21600,l21600,xe">
              <v:stroke joinstyle="miter"/>
              <v:path gradientshapeok="t" o:connecttype="rect"/>
            </v:shapetype>
            <v:shape id="Text Box 6" o:spid="_x0000_s1027" type="#_x0000_t202" style="position:absolute;margin-left:452.45pt;margin-top:10.05pt;width:78.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AGNAIAAGYEAAAOAAAAZHJzL2Uyb0RvYy54bWysVFFv2jAQfp+0/2D5fSShwFpEqFgrpkmo&#10;rQRTn41jk0i2z7MNCfv1OztAWbenaS/mfHc53/d9d8zuO63IQTjfgClpMcgpEYZD1ZhdSb9vlp9u&#10;KfGBmYopMKKkR+Hp/fzjh1lrp2IINahKOIJFjJ+2tqR1CHaaZZ7XQjM/ACsMBiU4zQJe3S6rHGux&#10;ulbZMM8nWQuusg648B69j32QzlN9KQUPz1J6EYgqKfYW0unSuY1nNp+x6c4xWzf81Ab7hy40aww+&#10;ein1yAIje9f8UUo33IEHGQYcdAZSNlwkDIimyN+hWdfMioQFyfH2QpP/f2X50+HFkaYq6YQSwzRK&#10;tBFdIF+gI5PITmv9FJPWFtNCh25U+ez36IygO+l0/EU4BOPI8/HCbSzG40d5nhfDMSUcY6Ob22Kc&#10;yM/evrbOh68CNIlGSR1qlyhlh5UP2AmmnlPiYwaWjVJJP2VIiwBusORvEfxCmegRaRJOZSKivvNo&#10;hW7bJfwXVFuojgjWQT8s3vJlgx2tmA8vzOF0ID6c+PCMh1SAL8PJoqQG9/Nv/piPomGUkhanraT+&#10;x545QYn6ZlDOu2I0iuOZLqPx5yFe3HVkex0xe/0AONAF7pblyYz5QZ1N6UC/4mIs4qsYYobj2yUN&#10;Z/Mh9DuAi8XFYpGScCAtCyuztjyWjrxFvjfdK3P2JEpAOZ/gPJds+k6bPrfXYLEPIJskXOS5ZxVV&#10;jBcc5qTnafHitlzfU9bb38P8FwAAAP//AwBQSwMEFAAGAAgAAAAhAISAjQLhAAAACgEAAA8AAABk&#10;cnMvZG93bnJldi54bWxMj8FOwzAQRO9I/IO1SNyonahUSYhTVZEqJASHll64OfE2ibDXIXbbwNfj&#10;nuC4mqeZt+V6toadcfKDIwnJQgBDap0eqJNweN8+ZMB8UKSVcYQSvtHDurq9KVWh3YV2eN6HjsUS&#10;8oWS0IcwFpz7tker/MKNSDE7usmqEM+p43pSl1huDU+FWHGrBooLvRqx7rH93J+shJd6+6Z2TWqz&#10;H1M/vx4349fh41HK+7t58wQs4Bz+YLjqR3WoolPjTqQ9MxJyscwjKiEVCbArIFbpElgjIcsT4FXJ&#10;/79Q/QIAAP//AwBQSwECLQAUAAYACAAAACEAtoM4kv4AAADhAQAAEwAAAAAAAAAAAAAAAAAAAAAA&#10;W0NvbnRlbnRfVHlwZXNdLnhtbFBLAQItABQABgAIAAAAIQA4/SH/1gAAAJQBAAALAAAAAAAAAAAA&#10;AAAAAC8BAABfcmVscy8ucmVsc1BLAQItABQABgAIAAAAIQCu4jAGNAIAAGYEAAAOAAAAAAAAAAAA&#10;AAAAAC4CAABkcnMvZTJvRG9jLnhtbFBLAQItABQABgAIAAAAIQCEgI0C4QAAAAoBAAAPAAAAAAAA&#10;AAAAAAAAAI4EAABkcnMvZG93bnJldi54bWxQSwUGAAAAAAQABADzAAAAnAUAAAAA&#10;" filled="f" stroked="f" strokeweight=".5pt">
              <v:textbox>
                <w:txbxContent>
                  <w:p w14:paraId="03AE62D0" w14:textId="77777777" w:rsidR="0011162F" w:rsidRDefault="0011162F" w:rsidP="0011162F">
                    <w:r>
                      <w:rPr>
                        <w:noProof/>
                        <w:sz w:val="24"/>
                        <w:szCs w:val="24"/>
                        <w:lang w:val="en-GB" w:eastAsia="en-GB"/>
                      </w:rPr>
                      <w:drawing>
                        <wp:inline distT="0" distB="0" distL="0" distR="0" wp14:anchorId="2E5210AF" wp14:editId="1D56DBD9">
                          <wp:extent cx="734695" cy="30612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695" cy="306123"/>
                                  </a:xfrm>
                                  <a:prstGeom prst="rect">
                                    <a:avLst/>
                                  </a:prstGeom>
                                  <a:noFill/>
                                  <a:ln>
                                    <a:noFill/>
                                  </a:ln>
                                </pic:spPr>
                              </pic:pic>
                            </a:graphicData>
                          </a:graphic>
                        </wp:inline>
                      </w:drawing>
                    </w:r>
                  </w:p>
                </w:txbxContent>
              </v:textbox>
            </v:shape>
          </w:pict>
        </mc:Fallback>
      </mc:AlternateContent>
    </w:r>
    <w:r w:rsidR="00176769" w:rsidRPr="00C87176">
      <w:rPr>
        <w:rFonts w:ascii="Arial" w:hAnsi="Arial" w:cs="Arial"/>
        <w:b/>
        <w:bCs/>
        <w:sz w:val="18"/>
        <w:szCs w:val="18"/>
      </w:rPr>
      <w:t>South East London Shared Care Prescribing Guideline</w:t>
    </w:r>
    <w:r w:rsidR="00176769">
      <w:rPr>
        <w:rFonts w:ascii="Arial" w:hAnsi="Arial" w:cs="Arial"/>
        <w:b/>
        <w:bCs/>
        <w:sz w:val="18"/>
        <w:szCs w:val="18"/>
      </w:rPr>
      <w:t>:</w:t>
    </w:r>
    <w:r w:rsidR="00176769" w:rsidRPr="00C87176">
      <w:rPr>
        <w:rFonts w:ascii="Arial" w:hAnsi="Arial" w:cs="Arial"/>
        <w:b/>
        <w:bCs/>
        <w:sz w:val="18"/>
        <w:szCs w:val="18"/>
      </w:rPr>
      <w:t xml:space="preserve"> </w:t>
    </w:r>
    <w:r w:rsidR="00176769">
      <w:rPr>
        <w:rFonts w:ascii="Arial" w:hAnsi="Arial" w:cs="Arial"/>
        <w:b/>
        <w:bCs/>
        <w:sz w:val="18"/>
        <w:szCs w:val="18"/>
      </w:rPr>
      <w:t xml:space="preserve">Aripiprazole </w:t>
    </w:r>
    <w:r w:rsidR="00FA03F3">
      <w:rPr>
        <w:rFonts w:ascii="Arial" w:hAnsi="Arial" w:cs="Arial"/>
        <w:b/>
        <w:bCs/>
        <w:sz w:val="18"/>
        <w:szCs w:val="18"/>
      </w:rPr>
      <w:t xml:space="preserve">long-acting injection </w:t>
    </w:r>
    <w:r w:rsidR="00176769" w:rsidRPr="003D38C8">
      <w:rPr>
        <w:rFonts w:ascii="Arial" w:hAnsi="Arial" w:cs="Arial"/>
        <w:b/>
        <w:bCs/>
        <w:sz w:val="18"/>
        <w:szCs w:val="18"/>
      </w:rPr>
      <w:t>for the treatment of schizophrenia in adults</w:t>
    </w:r>
    <w:r w:rsidR="002132CF">
      <w:rPr>
        <w:rFonts w:ascii="Verdana" w:hAnsi="Verdana" w:cs="Verdana"/>
        <w:color w:val="000000"/>
        <w:sz w:val="18"/>
        <w:szCs w:val="18"/>
      </w:rPr>
      <w:t xml:space="preserve">. </w:t>
    </w:r>
    <w:r w:rsidR="00176769">
      <w:rPr>
        <w:rFonts w:ascii="Arial" w:hAnsi="Arial" w:cs="Arial"/>
        <w:b/>
        <w:bCs/>
        <w:sz w:val="18"/>
        <w:szCs w:val="18"/>
      </w:rPr>
      <w:t xml:space="preserve">Date </w:t>
    </w:r>
    <w:r w:rsidR="002132CF">
      <w:rPr>
        <w:rFonts w:ascii="Arial" w:hAnsi="Arial" w:cs="Arial"/>
        <w:b/>
        <w:bCs/>
        <w:sz w:val="18"/>
        <w:szCs w:val="18"/>
      </w:rPr>
      <w:t xml:space="preserve">originally </w:t>
    </w:r>
    <w:r w:rsidR="00176769">
      <w:rPr>
        <w:rFonts w:ascii="Arial" w:hAnsi="Arial" w:cs="Arial"/>
        <w:b/>
        <w:bCs/>
        <w:sz w:val="18"/>
        <w:szCs w:val="18"/>
      </w:rPr>
      <w:t>approved</w:t>
    </w:r>
    <w:r w:rsidR="00176769" w:rsidRPr="00C87176">
      <w:rPr>
        <w:rFonts w:ascii="Arial" w:hAnsi="Arial" w:cs="Arial"/>
        <w:b/>
        <w:bCs/>
        <w:sz w:val="18"/>
        <w:szCs w:val="18"/>
      </w:rPr>
      <w:t xml:space="preserve">: </w:t>
    </w:r>
    <w:r w:rsidR="00A26729">
      <w:rPr>
        <w:rFonts w:ascii="Arial" w:hAnsi="Arial" w:cs="Arial"/>
        <w:bCs/>
        <w:sz w:val="18"/>
        <w:szCs w:val="18"/>
      </w:rPr>
      <w:t>April 201</w:t>
    </w:r>
    <w:r w:rsidR="000D006F">
      <w:rPr>
        <w:rFonts w:ascii="Arial" w:hAnsi="Arial" w:cs="Arial"/>
        <w:bCs/>
        <w:sz w:val="18"/>
        <w:szCs w:val="18"/>
      </w:rPr>
      <w:t>5</w:t>
    </w:r>
    <w:r w:rsidR="002132CF">
      <w:rPr>
        <w:rFonts w:ascii="Arial" w:hAnsi="Arial" w:cs="Arial"/>
        <w:bCs/>
        <w:sz w:val="18"/>
        <w:szCs w:val="18"/>
      </w:rPr>
      <w:t xml:space="preserve">.  </w:t>
    </w:r>
    <w:r w:rsidR="002132CF" w:rsidRPr="002132CF">
      <w:rPr>
        <w:rFonts w:ascii="Arial" w:hAnsi="Arial" w:cs="Arial"/>
        <w:b/>
        <w:bCs/>
        <w:sz w:val="18"/>
        <w:szCs w:val="18"/>
      </w:rPr>
      <w:t>Last reviewed</w:t>
    </w:r>
    <w:r w:rsidR="000D006F">
      <w:rPr>
        <w:rFonts w:ascii="Arial" w:hAnsi="Arial" w:cs="Arial"/>
        <w:b/>
        <w:bCs/>
        <w:sz w:val="18"/>
        <w:szCs w:val="18"/>
      </w:rPr>
      <w:t xml:space="preserve">: </w:t>
    </w:r>
    <w:r w:rsidR="000D006F">
      <w:rPr>
        <w:rFonts w:ascii="Arial" w:hAnsi="Arial" w:cs="Arial"/>
        <w:bCs/>
        <w:sz w:val="18"/>
        <w:szCs w:val="18"/>
      </w:rPr>
      <w:t>March</w:t>
    </w:r>
    <w:r w:rsidR="002132CF">
      <w:rPr>
        <w:rFonts w:ascii="Arial" w:hAnsi="Arial" w:cs="Arial"/>
        <w:bCs/>
        <w:sz w:val="18"/>
        <w:szCs w:val="18"/>
      </w:rPr>
      <w:t xml:space="preserve"> 2021 </w:t>
    </w:r>
  </w:p>
  <w:p w14:paraId="342306BE" w14:textId="012EA67B" w:rsidR="00176769" w:rsidRPr="002132CF" w:rsidRDefault="000D006F" w:rsidP="002132CF">
    <w:pPr>
      <w:pStyle w:val="Header"/>
      <w:ind w:right="-57"/>
      <w:rPr>
        <w:rFonts w:ascii="Verdana" w:hAnsi="Verdana" w:cs="Verdana"/>
        <w:color w:val="000000"/>
        <w:sz w:val="18"/>
        <w:szCs w:val="18"/>
      </w:rPr>
    </w:pPr>
    <w:r>
      <w:rPr>
        <w:rFonts w:ascii="Arial" w:hAnsi="Arial" w:cs="Arial"/>
        <w:b/>
        <w:bCs/>
        <w:sz w:val="18"/>
        <w:szCs w:val="18"/>
      </w:rPr>
      <w:t>Approved</w:t>
    </w:r>
    <w:r w:rsidRPr="002132CF">
      <w:rPr>
        <w:rFonts w:ascii="Arial" w:hAnsi="Arial" w:cs="Arial"/>
        <w:b/>
        <w:bCs/>
        <w:sz w:val="18"/>
        <w:szCs w:val="18"/>
      </w:rPr>
      <w:t>:</w:t>
    </w:r>
    <w:r>
      <w:rPr>
        <w:rFonts w:ascii="Arial" w:hAnsi="Arial" w:cs="Arial"/>
        <w:b/>
        <w:bCs/>
        <w:sz w:val="18"/>
        <w:szCs w:val="18"/>
      </w:rPr>
      <w:t xml:space="preserve"> </w:t>
    </w:r>
    <w:r w:rsidR="006D2EF2">
      <w:rPr>
        <w:rFonts w:ascii="Arial" w:hAnsi="Arial" w:cs="Arial"/>
        <w:bCs/>
        <w:sz w:val="18"/>
        <w:szCs w:val="18"/>
      </w:rPr>
      <w:t>April</w:t>
    </w:r>
    <w:r>
      <w:rPr>
        <w:rFonts w:ascii="Arial" w:hAnsi="Arial" w:cs="Arial"/>
        <w:bCs/>
        <w:sz w:val="18"/>
        <w:szCs w:val="18"/>
      </w:rPr>
      <w:t xml:space="preserve"> 2021. </w:t>
    </w:r>
    <w:r w:rsidR="002132CF">
      <w:rPr>
        <w:rFonts w:ascii="Arial" w:hAnsi="Arial" w:cs="Arial"/>
        <w:b/>
        <w:bCs/>
        <w:sz w:val="18"/>
        <w:szCs w:val="18"/>
      </w:rPr>
      <w:t>Next review date:</w:t>
    </w:r>
    <w:r w:rsidR="00176769">
      <w:rPr>
        <w:rFonts w:ascii="Arial" w:hAnsi="Arial" w:cs="Arial"/>
        <w:b/>
        <w:bCs/>
        <w:sz w:val="18"/>
        <w:szCs w:val="18"/>
      </w:rPr>
      <w:t xml:space="preserve"> </w:t>
    </w:r>
    <w:r w:rsidR="006D2EF2">
      <w:rPr>
        <w:rFonts w:ascii="Arial" w:hAnsi="Arial" w:cs="Arial"/>
        <w:bCs/>
        <w:sz w:val="18"/>
        <w:szCs w:val="18"/>
      </w:rPr>
      <w:t>April</w:t>
    </w:r>
    <w:r w:rsidR="002132CF">
      <w:rPr>
        <w:rFonts w:ascii="Arial" w:hAnsi="Arial" w:cs="Arial"/>
        <w:bCs/>
        <w:sz w:val="18"/>
        <w:szCs w:val="18"/>
      </w:rPr>
      <w:t xml:space="preserve"> 2024</w:t>
    </w:r>
    <w:r w:rsidR="00432271">
      <w:rPr>
        <w:rFonts w:ascii="Arial" w:hAnsi="Arial" w:cs="Arial"/>
        <w:b/>
        <w:bCs/>
        <w:sz w:val="18"/>
        <w:szCs w:val="18"/>
      </w:rPr>
      <w:t xml:space="preserve"> </w:t>
    </w:r>
    <w:r w:rsidR="00176769" w:rsidRPr="0002013F">
      <w:rPr>
        <w:rFonts w:ascii="Arial" w:hAnsi="Arial" w:cs="Arial"/>
        <w:bCs/>
        <w:sz w:val="18"/>
        <w:szCs w:val="18"/>
      </w:rPr>
      <w:t>or sooner</w:t>
    </w:r>
    <w:r w:rsidR="00176769">
      <w:rPr>
        <w:rFonts w:ascii="Arial" w:hAnsi="Arial" w:cs="Arial"/>
        <w:bCs/>
        <w:sz w:val="18"/>
        <w:szCs w:val="18"/>
      </w:rPr>
      <w:t xml:space="preserve"> </w:t>
    </w:r>
    <w:r w:rsidR="00176769" w:rsidRPr="0002013F">
      <w:rPr>
        <w:rFonts w:ascii="Arial" w:hAnsi="Arial" w:cs="Arial"/>
        <w:bCs/>
        <w:sz w:val="18"/>
        <w:szCs w:val="18"/>
      </w:rPr>
      <w:t>if the evidence or practice changes.</w:t>
    </w:r>
  </w:p>
  <w:p w14:paraId="3EC6897B" w14:textId="77777777" w:rsidR="00176769" w:rsidRDefault="00176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2A005B0"/>
    <w:lvl w:ilvl="0">
      <w:start w:val="4"/>
      <w:numFmt w:val="decimal"/>
      <w:lvlText w:val="%1."/>
      <w:lvlJc w:val="left"/>
      <w:pPr>
        <w:tabs>
          <w:tab w:val="num" w:pos="360"/>
        </w:tabs>
        <w:ind w:left="360" w:hanging="360"/>
      </w:pPr>
      <w:rPr>
        <w:rFonts w:cs="Times New Roman" w:hint="default"/>
        <w:b/>
        <w:bCs/>
        <w:i w:val="0"/>
        <w:color w:val="auto"/>
        <w:sz w:val="22"/>
        <w:szCs w:val="22"/>
      </w:rPr>
    </w:lvl>
    <w:lvl w:ilvl="1">
      <w:start w:val="1"/>
      <w:numFmt w:val="decimal"/>
      <w:pStyle w:val="Heading2"/>
      <w:lvlText w:val="%1.%2."/>
      <w:lvlJc w:val="left"/>
      <w:pPr>
        <w:tabs>
          <w:tab w:val="num" w:pos="0"/>
        </w:tabs>
        <w:ind w:left="1416" w:hanging="708"/>
      </w:pPr>
      <w:rPr>
        <w:rFonts w:cs="Times New Roman" w:hint="default"/>
      </w:rPr>
    </w:lvl>
    <w:lvl w:ilvl="2">
      <w:start w:val="1"/>
      <w:numFmt w:val="decimal"/>
      <w:pStyle w:val="Heading3"/>
      <w:lvlText w:val="%1.%2.%3."/>
      <w:lvlJc w:val="left"/>
      <w:pPr>
        <w:tabs>
          <w:tab w:val="num" w:pos="0"/>
        </w:tabs>
        <w:ind w:left="2124"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 w15:restartNumberingAfterBreak="0">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10E71AB8"/>
    <w:multiLevelType w:val="hybridMultilevel"/>
    <w:tmpl w:val="48206B5E"/>
    <w:lvl w:ilvl="0" w:tplc="0409000F">
      <w:start w:val="1"/>
      <w:numFmt w:val="decimal"/>
      <w:lvlText w:val="%1."/>
      <w:lvlJc w:val="left"/>
      <w:pPr>
        <w:tabs>
          <w:tab w:val="num" w:pos="360"/>
        </w:tabs>
        <w:ind w:left="360" w:hanging="360"/>
      </w:pPr>
      <w:rPr>
        <w:rFonts w:cs="Times New Roman" w:hint="default"/>
      </w:rPr>
    </w:lvl>
    <w:lvl w:ilvl="1" w:tplc="4A46EA1A">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21EC20A6"/>
    <w:multiLevelType w:val="hybridMultilevel"/>
    <w:tmpl w:val="73D05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0750D"/>
    <w:multiLevelType w:val="hybridMultilevel"/>
    <w:tmpl w:val="69E010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5" w15:restartNumberingAfterBreak="0">
    <w:nsid w:val="22B07C84"/>
    <w:multiLevelType w:val="hybridMultilevel"/>
    <w:tmpl w:val="41E8DB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42878"/>
    <w:multiLevelType w:val="hybridMultilevel"/>
    <w:tmpl w:val="990A95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3D1A60"/>
    <w:multiLevelType w:val="hybridMultilevel"/>
    <w:tmpl w:val="FAEE1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F669E8"/>
    <w:multiLevelType w:val="hybridMultilevel"/>
    <w:tmpl w:val="90F20C5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C2D9B"/>
    <w:multiLevelType w:val="hybridMultilevel"/>
    <w:tmpl w:val="CE6A3500"/>
    <w:lvl w:ilvl="0" w:tplc="C8A6FC96">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2B25F4"/>
    <w:multiLevelType w:val="hybridMultilevel"/>
    <w:tmpl w:val="811815CA"/>
    <w:lvl w:ilvl="0" w:tplc="4ECC75D4">
      <w:start w:val="1"/>
      <w:numFmt w:val="bullet"/>
      <w:lvlText w:val=""/>
      <w:lvlJc w:val="left"/>
      <w:pPr>
        <w:tabs>
          <w:tab w:val="num" w:pos="1364"/>
        </w:tabs>
        <w:ind w:left="136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94C11"/>
    <w:multiLevelType w:val="hybridMultilevel"/>
    <w:tmpl w:val="CA62B66C"/>
    <w:lvl w:ilvl="0" w:tplc="02D26E88">
      <w:start w:val="3"/>
      <w:numFmt w:val="decimal"/>
      <w:lvlText w:val="%1."/>
      <w:lvlJc w:val="left"/>
      <w:pPr>
        <w:tabs>
          <w:tab w:val="num" w:pos="360"/>
        </w:tabs>
        <w:ind w:left="360" w:hanging="360"/>
      </w:pPr>
      <w:rPr>
        <w:rFonts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A501FF"/>
    <w:multiLevelType w:val="hybridMultilevel"/>
    <w:tmpl w:val="8F8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0576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73A5065"/>
    <w:multiLevelType w:val="hybridMultilevel"/>
    <w:tmpl w:val="17348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4722AE"/>
    <w:multiLevelType w:val="hybridMultilevel"/>
    <w:tmpl w:val="21BA6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255586"/>
    <w:multiLevelType w:val="hybridMultilevel"/>
    <w:tmpl w:val="AF7E1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5E662F"/>
    <w:multiLevelType w:val="hybridMultilevel"/>
    <w:tmpl w:val="CE369E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50A75B05"/>
    <w:multiLevelType w:val="hybridMultilevel"/>
    <w:tmpl w:val="3516E77A"/>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276BEB"/>
    <w:multiLevelType w:val="hybridMultilevel"/>
    <w:tmpl w:val="3DE49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22B79AB"/>
    <w:multiLevelType w:val="hybridMultilevel"/>
    <w:tmpl w:val="EA8A37B4"/>
    <w:lvl w:ilvl="0" w:tplc="CAE66268">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3800E6"/>
    <w:multiLevelType w:val="hybridMultilevel"/>
    <w:tmpl w:val="3F02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54A0F"/>
    <w:multiLevelType w:val="hybridMultilevel"/>
    <w:tmpl w:val="D88049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7515DC"/>
    <w:multiLevelType w:val="hybridMultilevel"/>
    <w:tmpl w:val="B346173C"/>
    <w:lvl w:ilvl="0" w:tplc="08090005">
      <w:start w:val="1"/>
      <w:numFmt w:val="bullet"/>
      <w:lvlText w:val=""/>
      <w:lvlJc w:val="left"/>
      <w:pPr>
        <w:tabs>
          <w:tab w:val="num" w:pos="189"/>
        </w:tabs>
        <w:ind w:left="189" w:hanging="360"/>
      </w:pPr>
      <w:rPr>
        <w:rFonts w:ascii="Wingdings" w:hAnsi="Wingdings" w:hint="default"/>
      </w:rPr>
    </w:lvl>
    <w:lvl w:ilvl="1" w:tplc="08090003">
      <w:start w:val="1"/>
      <w:numFmt w:val="bullet"/>
      <w:lvlText w:val="o"/>
      <w:lvlJc w:val="left"/>
      <w:pPr>
        <w:tabs>
          <w:tab w:val="num" w:pos="909"/>
        </w:tabs>
        <w:ind w:left="909" w:hanging="360"/>
      </w:pPr>
      <w:rPr>
        <w:rFonts w:ascii="Courier New" w:hAnsi="Courier New" w:hint="default"/>
      </w:rPr>
    </w:lvl>
    <w:lvl w:ilvl="2" w:tplc="08090005">
      <w:start w:val="1"/>
      <w:numFmt w:val="bullet"/>
      <w:lvlText w:val=""/>
      <w:lvlJc w:val="left"/>
      <w:pPr>
        <w:tabs>
          <w:tab w:val="num" w:pos="1629"/>
        </w:tabs>
        <w:ind w:left="1629" w:hanging="360"/>
      </w:pPr>
      <w:rPr>
        <w:rFonts w:ascii="Wingdings" w:hAnsi="Wingdings" w:hint="default"/>
      </w:rPr>
    </w:lvl>
    <w:lvl w:ilvl="3" w:tplc="08090001">
      <w:start w:val="1"/>
      <w:numFmt w:val="bullet"/>
      <w:lvlText w:val=""/>
      <w:lvlJc w:val="left"/>
      <w:pPr>
        <w:tabs>
          <w:tab w:val="num" w:pos="2349"/>
        </w:tabs>
        <w:ind w:left="2349" w:hanging="360"/>
      </w:pPr>
      <w:rPr>
        <w:rFonts w:ascii="Symbol" w:hAnsi="Symbol" w:hint="default"/>
      </w:rPr>
    </w:lvl>
    <w:lvl w:ilvl="4" w:tplc="08090003">
      <w:start w:val="1"/>
      <w:numFmt w:val="bullet"/>
      <w:lvlText w:val="o"/>
      <w:lvlJc w:val="left"/>
      <w:pPr>
        <w:tabs>
          <w:tab w:val="num" w:pos="3069"/>
        </w:tabs>
        <w:ind w:left="3069" w:hanging="360"/>
      </w:pPr>
      <w:rPr>
        <w:rFonts w:ascii="Courier New" w:hAnsi="Courier New" w:hint="default"/>
      </w:rPr>
    </w:lvl>
    <w:lvl w:ilvl="5" w:tplc="08090005">
      <w:start w:val="1"/>
      <w:numFmt w:val="bullet"/>
      <w:lvlText w:val=""/>
      <w:lvlJc w:val="left"/>
      <w:pPr>
        <w:tabs>
          <w:tab w:val="num" w:pos="3789"/>
        </w:tabs>
        <w:ind w:left="3789" w:hanging="360"/>
      </w:pPr>
      <w:rPr>
        <w:rFonts w:ascii="Wingdings" w:hAnsi="Wingdings" w:hint="default"/>
      </w:rPr>
    </w:lvl>
    <w:lvl w:ilvl="6" w:tplc="08090001">
      <w:start w:val="1"/>
      <w:numFmt w:val="bullet"/>
      <w:lvlText w:val=""/>
      <w:lvlJc w:val="left"/>
      <w:pPr>
        <w:tabs>
          <w:tab w:val="num" w:pos="4509"/>
        </w:tabs>
        <w:ind w:left="4509" w:hanging="360"/>
      </w:pPr>
      <w:rPr>
        <w:rFonts w:ascii="Symbol" w:hAnsi="Symbol" w:hint="default"/>
      </w:rPr>
    </w:lvl>
    <w:lvl w:ilvl="7" w:tplc="08090003">
      <w:start w:val="1"/>
      <w:numFmt w:val="bullet"/>
      <w:lvlText w:val="o"/>
      <w:lvlJc w:val="left"/>
      <w:pPr>
        <w:tabs>
          <w:tab w:val="num" w:pos="5229"/>
        </w:tabs>
        <w:ind w:left="5229" w:hanging="360"/>
      </w:pPr>
      <w:rPr>
        <w:rFonts w:ascii="Courier New" w:hAnsi="Courier New" w:hint="default"/>
      </w:rPr>
    </w:lvl>
    <w:lvl w:ilvl="8" w:tplc="08090005">
      <w:start w:val="1"/>
      <w:numFmt w:val="bullet"/>
      <w:lvlText w:val=""/>
      <w:lvlJc w:val="left"/>
      <w:pPr>
        <w:tabs>
          <w:tab w:val="num" w:pos="5949"/>
        </w:tabs>
        <w:ind w:left="5949" w:hanging="360"/>
      </w:pPr>
      <w:rPr>
        <w:rFonts w:ascii="Wingdings" w:hAnsi="Wingdings" w:hint="default"/>
      </w:rPr>
    </w:lvl>
  </w:abstractNum>
  <w:abstractNum w:abstractNumId="24" w15:restartNumberingAfterBreak="0">
    <w:nsid w:val="5A7C0A13"/>
    <w:multiLevelType w:val="hybridMultilevel"/>
    <w:tmpl w:val="4190B72A"/>
    <w:lvl w:ilvl="0" w:tplc="4E80E28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C2544"/>
    <w:multiLevelType w:val="hybridMultilevel"/>
    <w:tmpl w:val="D94A9C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88618A"/>
    <w:multiLevelType w:val="hybridMultilevel"/>
    <w:tmpl w:val="5B706896"/>
    <w:lvl w:ilvl="0" w:tplc="E1A4FA9C">
      <w:start w:val="1"/>
      <w:numFmt w:val="bullet"/>
      <w:lvlText w:val=""/>
      <w:lvlJc w:val="left"/>
      <w:pPr>
        <w:tabs>
          <w:tab w:val="num" w:pos="360"/>
        </w:tabs>
        <w:ind w:left="360" w:hanging="360"/>
      </w:pPr>
      <w:rPr>
        <w:rFonts w:ascii="Wingdings" w:hAnsi="Wingdings" w:hint="default"/>
        <w:sz w:val="20"/>
      </w:rPr>
    </w:lvl>
    <w:lvl w:ilvl="1" w:tplc="BAB42154">
      <w:start w:val="1"/>
      <w:numFmt w:val="bullet"/>
      <w:lvlText w:val=""/>
      <w:lvlJc w:val="left"/>
      <w:pPr>
        <w:tabs>
          <w:tab w:val="num" w:pos="1213"/>
        </w:tabs>
        <w:ind w:left="1213" w:hanging="493"/>
      </w:pPr>
      <w:rPr>
        <w:rFonts w:ascii="Wingdings" w:hAnsi="Wingdings"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867FAF"/>
    <w:multiLevelType w:val="hybridMultilevel"/>
    <w:tmpl w:val="67685A5E"/>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8" w15:restartNumberingAfterBreak="0">
    <w:nsid w:val="64DD4357"/>
    <w:multiLevelType w:val="hybridMultilevel"/>
    <w:tmpl w:val="302453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CE6D20"/>
    <w:multiLevelType w:val="hybridMultilevel"/>
    <w:tmpl w:val="4C06133A"/>
    <w:lvl w:ilvl="0" w:tplc="960028C6">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66866318"/>
    <w:multiLevelType w:val="hybridMultilevel"/>
    <w:tmpl w:val="72B402E4"/>
    <w:lvl w:ilvl="0" w:tplc="64243724">
      <w:start w:val="1"/>
      <w:numFmt w:val="bullet"/>
      <w:lvlText w:val=""/>
      <w:lvlJc w:val="left"/>
      <w:pPr>
        <w:tabs>
          <w:tab w:val="num" w:pos="360"/>
        </w:tabs>
        <w:ind w:left="36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210BD"/>
    <w:multiLevelType w:val="hybridMultilevel"/>
    <w:tmpl w:val="B10815A8"/>
    <w:lvl w:ilvl="0" w:tplc="36E454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60422"/>
    <w:multiLevelType w:val="hybridMultilevel"/>
    <w:tmpl w:val="822E8C56"/>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D25E5A"/>
    <w:multiLevelType w:val="hybridMultilevel"/>
    <w:tmpl w:val="E804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66C07"/>
    <w:multiLevelType w:val="hybridMultilevel"/>
    <w:tmpl w:val="091E2398"/>
    <w:lvl w:ilvl="0" w:tplc="08090005">
      <w:start w:val="1"/>
      <w:numFmt w:val="bullet"/>
      <w:lvlText w:val=""/>
      <w:lvlJc w:val="left"/>
      <w:pPr>
        <w:tabs>
          <w:tab w:val="num" w:pos="549"/>
        </w:tabs>
        <w:ind w:left="549" w:hanging="360"/>
      </w:pPr>
      <w:rPr>
        <w:rFonts w:ascii="Wingdings" w:hAnsi="Wingdings" w:hint="default"/>
      </w:rPr>
    </w:lvl>
    <w:lvl w:ilvl="1" w:tplc="08090003">
      <w:start w:val="1"/>
      <w:numFmt w:val="bullet"/>
      <w:lvlText w:val="o"/>
      <w:lvlJc w:val="left"/>
      <w:pPr>
        <w:tabs>
          <w:tab w:val="num" w:pos="1269"/>
        </w:tabs>
        <w:ind w:left="1269" w:hanging="360"/>
      </w:pPr>
      <w:rPr>
        <w:rFonts w:ascii="Courier New" w:hAnsi="Courier New" w:hint="default"/>
      </w:rPr>
    </w:lvl>
    <w:lvl w:ilvl="2" w:tplc="08090005">
      <w:start w:val="1"/>
      <w:numFmt w:val="bullet"/>
      <w:lvlText w:val=""/>
      <w:lvlJc w:val="left"/>
      <w:pPr>
        <w:tabs>
          <w:tab w:val="num" w:pos="1989"/>
        </w:tabs>
        <w:ind w:left="1989" w:hanging="360"/>
      </w:pPr>
      <w:rPr>
        <w:rFonts w:ascii="Wingdings" w:hAnsi="Wingdings" w:hint="default"/>
      </w:rPr>
    </w:lvl>
    <w:lvl w:ilvl="3" w:tplc="08090001">
      <w:start w:val="1"/>
      <w:numFmt w:val="bullet"/>
      <w:lvlText w:val=""/>
      <w:lvlJc w:val="left"/>
      <w:pPr>
        <w:tabs>
          <w:tab w:val="num" w:pos="2709"/>
        </w:tabs>
        <w:ind w:left="2709" w:hanging="360"/>
      </w:pPr>
      <w:rPr>
        <w:rFonts w:ascii="Symbol" w:hAnsi="Symbol" w:hint="default"/>
      </w:rPr>
    </w:lvl>
    <w:lvl w:ilvl="4" w:tplc="08090003">
      <w:start w:val="1"/>
      <w:numFmt w:val="bullet"/>
      <w:lvlText w:val="o"/>
      <w:lvlJc w:val="left"/>
      <w:pPr>
        <w:tabs>
          <w:tab w:val="num" w:pos="3429"/>
        </w:tabs>
        <w:ind w:left="3429" w:hanging="360"/>
      </w:pPr>
      <w:rPr>
        <w:rFonts w:ascii="Courier New" w:hAnsi="Courier New" w:hint="default"/>
      </w:rPr>
    </w:lvl>
    <w:lvl w:ilvl="5" w:tplc="08090005">
      <w:start w:val="1"/>
      <w:numFmt w:val="bullet"/>
      <w:lvlText w:val=""/>
      <w:lvlJc w:val="left"/>
      <w:pPr>
        <w:tabs>
          <w:tab w:val="num" w:pos="4149"/>
        </w:tabs>
        <w:ind w:left="4149" w:hanging="360"/>
      </w:pPr>
      <w:rPr>
        <w:rFonts w:ascii="Wingdings" w:hAnsi="Wingdings" w:hint="default"/>
      </w:rPr>
    </w:lvl>
    <w:lvl w:ilvl="6" w:tplc="08090001">
      <w:start w:val="1"/>
      <w:numFmt w:val="bullet"/>
      <w:lvlText w:val=""/>
      <w:lvlJc w:val="left"/>
      <w:pPr>
        <w:tabs>
          <w:tab w:val="num" w:pos="4869"/>
        </w:tabs>
        <w:ind w:left="4869" w:hanging="360"/>
      </w:pPr>
      <w:rPr>
        <w:rFonts w:ascii="Symbol" w:hAnsi="Symbol" w:hint="default"/>
      </w:rPr>
    </w:lvl>
    <w:lvl w:ilvl="7" w:tplc="08090003">
      <w:start w:val="1"/>
      <w:numFmt w:val="bullet"/>
      <w:lvlText w:val="o"/>
      <w:lvlJc w:val="left"/>
      <w:pPr>
        <w:tabs>
          <w:tab w:val="num" w:pos="5589"/>
        </w:tabs>
        <w:ind w:left="5589" w:hanging="360"/>
      </w:pPr>
      <w:rPr>
        <w:rFonts w:ascii="Courier New" w:hAnsi="Courier New" w:hint="default"/>
      </w:rPr>
    </w:lvl>
    <w:lvl w:ilvl="8" w:tplc="08090005">
      <w:start w:val="1"/>
      <w:numFmt w:val="bullet"/>
      <w:lvlText w:val=""/>
      <w:lvlJc w:val="left"/>
      <w:pPr>
        <w:tabs>
          <w:tab w:val="num" w:pos="6309"/>
        </w:tabs>
        <w:ind w:left="6309" w:hanging="360"/>
      </w:pPr>
      <w:rPr>
        <w:rFonts w:ascii="Wingdings" w:hAnsi="Wingdings" w:hint="default"/>
      </w:rPr>
    </w:lvl>
  </w:abstractNum>
  <w:abstractNum w:abstractNumId="35" w15:restartNumberingAfterBreak="0">
    <w:nsid w:val="7CB02E1F"/>
    <w:multiLevelType w:val="hybridMultilevel"/>
    <w:tmpl w:val="301C210C"/>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16cid:durableId="1973517443">
    <w:abstractNumId w:val="0"/>
  </w:num>
  <w:num w:numId="2" w16cid:durableId="1323239549">
    <w:abstractNumId w:val="1"/>
  </w:num>
  <w:num w:numId="3" w16cid:durableId="884871903">
    <w:abstractNumId w:val="26"/>
  </w:num>
  <w:num w:numId="4" w16cid:durableId="111366996">
    <w:abstractNumId w:val="10"/>
  </w:num>
  <w:num w:numId="5" w16cid:durableId="1719551829">
    <w:abstractNumId w:val="2"/>
  </w:num>
  <w:num w:numId="6" w16cid:durableId="1116220527">
    <w:abstractNumId w:val="19"/>
  </w:num>
  <w:num w:numId="7" w16cid:durableId="1842310221">
    <w:abstractNumId w:val="30"/>
  </w:num>
  <w:num w:numId="8" w16cid:durableId="1490293153">
    <w:abstractNumId w:val="20"/>
  </w:num>
  <w:num w:numId="9" w16cid:durableId="722145552">
    <w:abstractNumId w:val="29"/>
  </w:num>
  <w:num w:numId="10" w16cid:durableId="913710463">
    <w:abstractNumId w:val="23"/>
  </w:num>
  <w:num w:numId="11" w16cid:durableId="668141035">
    <w:abstractNumId w:val="18"/>
  </w:num>
  <w:num w:numId="12" w16cid:durableId="546452199">
    <w:abstractNumId w:val="8"/>
  </w:num>
  <w:num w:numId="13" w16cid:durableId="248386995">
    <w:abstractNumId w:val="24"/>
  </w:num>
  <w:num w:numId="14" w16cid:durableId="503016752">
    <w:abstractNumId w:val="11"/>
  </w:num>
  <w:num w:numId="15" w16cid:durableId="1446074025">
    <w:abstractNumId w:val="13"/>
  </w:num>
  <w:num w:numId="16" w16cid:durableId="1336611135">
    <w:abstractNumId w:val="31"/>
  </w:num>
  <w:num w:numId="17" w16cid:durableId="506677868">
    <w:abstractNumId w:val="21"/>
  </w:num>
  <w:num w:numId="18" w16cid:durableId="224340315">
    <w:abstractNumId w:val="4"/>
  </w:num>
  <w:num w:numId="19" w16cid:durableId="977995427">
    <w:abstractNumId w:val="17"/>
  </w:num>
  <w:num w:numId="20" w16cid:durableId="1605384141">
    <w:abstractNumId w:val="27"/>
  </w:num>
  <w:num w:numId="21" w16cid:durableId="1087338365">
    <w:abstractNumId w:val="6"/>
  </w:num>
  <w:num w:numId="22" w16cid:durableId="1493066280">
    <w:abstractNumId w:val="3"/>
  </w:num>
  <w:num w:numId="23" w16cid:durableId="778793647">
    <w:abstractNumId w:val="7"/>
  </w:num>
  <w:num w:numId="24" w16cid:durableId="2119904166">
    <w:abstractNumId w:val="15"/>
  </w:num>
  <w:num w:numId="25" w16cid:durableId="421025669">
    <w:abstractNumId w:val="34"/>
  </w:num>
  <w:num w:numId="26" w16cid:durableId="42098738">
    <w:abstractNumId w:val="25"/>
  </w:num>
  <w:num w:numId="27" w16cid:durableId="2035886433">
    <w:abstractNumId w:val="35"/>
  </w:num>
  <w:num w:numId="28" w16cid:durableId="201014584">
    <w:abstractNumId w:val="32"/>
  </w:num>
  <w:num w:numId="29" w16cid:durableId="1599681530">
    <w:abstractNumId w:val="5"/>
  </w:num>
  <w:num w:numId="30" w16cid:durableId="1784642783">
    <w:abstractNumId w:val="28"/>
  </w:num>
  <w:num w:numId="31" w16cid:durableId="1161626715">
    <w:abstractNumId w:val="9"/>
  </w:num>
  <w:num w:numId="32" w16cid:durableId="2062511849">
    <w:abstractNumId w:val="16"/>
  </w:num>
  <w:num w:numId="33" w16cid:durableId="44989094">
    <w:abstractNumId w:val="14"/>
  </w:num>
  <w:num w:numId="34" w16cid:durableId="1665160292">
    <w:abstractNumId w:val="33"/>
  </w:num>
  <w:num w:numId="35" w16cid:durableId="724838093">
    <w:abstractNumId w:val="22"/>
  </w:num>
  <w:num w:numId="36" w16cid:durableId="135175729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C"/>
    <w:rsid w:val="00001AB0"/>
    <w:rsid w:val="00002A56"/>
    <w:rsid w:val="00005BD4"/>
    <w:rsid w:val="0000653B"/>
    <w:rsid w:val="00012B23"/>
    <w:rsid w:val="00013BD8"/>
    <w:rsid w:val="00014778"/>
    <w:rsid w:val="00016A41"/>
    <w:rsid w:val="0001741C"/>
    <w:rsid w:val="0002013F"/>
    <w:rsid w:val="0002206A"/>
    <w:rsid w:val="000222E2"/>
    <w:rsid w:val="00023BB5"/>
    <w:rsid w:val="000248A5"/>
    <w:rsid w:val="00024E6A"/>
    <w:rsid w:val="00024F1D"/>
    <w:rsid w:val="000258BE"/>
    <w:rsid w:val="000268EF"/>
    <w:rsid w:val="0002743C"/>
    <w:rsid w:val="000303DB"/>
    <w:rsid w:val="000315A4"/>
    <w:rsid w:val="00033379"/>
    <w:rsid w:val="00034496"/>
    <w:rsid w:val="000370A9"/>
    <w:rsid w:val="0003760F"/>
    <w:rsid w:val="0004057F"/>
    <w:rsid w:val="0004116F"/>
    <w:rsid w:val="00041791"/>
    <w:rsid w:val="0004192F"/>
    <w:rsid w:val="00042B1E"/>
    <w:rsid w:val="00043438"/>
    <w:rsid w:val="000437C6"/>
    <w:rsid w:val="00043AA9"/>
    <w:rsid w:val="00044240"/>
    <w:rsid w:val="0004574C"/>
    <w:rsid w:val="00045925"/>
    <w:rsid w:val="00045E8A"/>
    <w:rsid w:val="0004670C"/>
    <w:rsid w:val="00050106"/>
    <w:rsid w:val="000543C8"/>
    <w:rsid w:val="0005504E"/>
    <w:rsid w:val="0005658F"/>
    <w:rsid w:val="0006105E"/>
    <w:rsid w:val="00061F75"/>
    <w:rsid w:val="00063C40"/>
    <w:rsid w:val="000662C4"/>
    <w:rsid w:val="00070519"/>
    <w:rsid w:val="000715D3"/>
    <w:rsid w:val="00071ACB"/>
    <w:rsid w:val="00072BBF"/>
    <w:rsid w:val="00072FF2"/>
    <w:rsid w:val="00075AE5"/>
    <w:rsid w:val="0008145C"/>
    <w:rsid w:val="00082AB3"/>
    <w:rsid w:val="00085E3B"/>
    <w:rsid w:val="0008693B"/>
    <w:rsid w:val="00087384"/>
    <w:rsid w:val="00092928"/>
    <w:rsid w:val="00094C9C"/>
    <w:rsid w:val="00095046"/>
    <w:rsid w:val="000A0802"/>
    <w:rsid w:val="000A437F"/>
    <w:rsid w:val="000A4381"/>
    <w:rsid w:val="000A5034"/>
    <w:rsid w:val="000A5AB8"/>
    <w:rsid w:val="000A6DE2"/>
    <w:rsid w:val="000B03A9"/>
    <w:rsid w:val="000B0DDC"/>
    <w:rsid w:val="000B1838"/>
    <w:rsid w:val="000B2F34"/>
    <w:rsid w:val="000B3D3E"/>
    <w:rsid w:val="000B4BBA"/>
    <w:rsid w:val="000B50D5"/>
    <w:rsid w:val="000B772F"/>
    <w:rsid w:val="000C1BE6"/>
    <w:rsid w:val="000C330E"/>
    <w:rsid w:val="000C3CB9"/>
    <w:rsid w:val="000C4B7D"/>
    <w:rsid w:val="000C5548"/>
    <w:rsid w:val="000C619D"/>
    <w:rsid w:val="000C6A55"/>
    <w:rsid w:val="000C778C"/>
    <w:rsid w:val="000C7E8D"/>
    <w:rsid w:val="000D006F"/>
    <w:rsid w:val="000D09B8"/>
    <w:rsid w:val="000D2211"/>
    <w:rsid w:val="000D3C13"/>
    <w:rsid w:val="000D48A9"/>
    <w:rsid w:val="000D7ADC"/>
    <w:rsid w:val="000E36AF"/>
    <w:rsid w:val="000E4224"/>
    <w:rsid w:val="000E5578"/>
    <w:rsid w:val="000E5C40"/>
    <w:rsid w:val="000E6FAC"/>
    <w:rsid w:val="000E727B"/>
    <w:rsid w:val="000E782D"/>
    <w:rsid w:val="000F1441"/>
    <w:rsid w:val="000F2001"/>
    <w:rsid w:val="000F47DE"/>
    <w:rsid w:val="000F495D"/>
    <w:rsid w:val="000F7F92"/>
    <w:rsid w:val="0010265A"/>
    <w:rsid w:val="00102730"/>
    <w:rsid w:val="00104453"/>
    <w:rsid w:val="00105217"/>
    <w:rsid w:val="00107055"/>
    <w:rsid w:val="00107F47"/>
    <w:rsid w:val="001108C5"/>
    <w:rsid w:val="00110D13"/>
    <w:rsid w:val="0011162F"/>
    <w:rsid w:val="00111DE3"/>
    <w:rsid w:val="00113835"/>
    <w:rsid w:val="00113BA9"/>
    <w:rsid w:val="00115793"/>
    <w:rsid w:val="00116EB1"/>
    <w:rsid w:val="0011740A"/>
    <w:rsid w:val="00117ECF"/>
    <w:rsid w:val="0012003D"/>
    <w:rsid w:val="00122220"/>
    <w:rsid w:val="001233DA"/>
    <w:rsid w:val="001254C7"/>
    <w:rsid w:val="0012645B"/>
    <w:rsid w:val="001307BC"/>
    <w:rsid w:val="00131012"/>
    <w:rsid w:val="00131B32"/>
    <w:rsid w:val="001330AC"/>
    <w:rsid w:val="00133359"/>
    <w:rsid w:val="0014022C"/>
    <w:rsid w:val="00140C6B"/>
    <w:rsid w:val="001439E9"/>
    <w:rsid w:val="00143DEF"/>
    <w:rsid w:val="00144432"/>
    <w:rsid w:val="00150617"/>
    <w:rsid w:val="0015077F"/>
    <w:rsid w:val="0015155D"/>
    <w:rsid w:val="001519C4"/>
    <w:rsid w:val="00151D77"/>
    <w:rsid w:val="00152A3C"/>
    <w:rsid w:val="00152CEB"/>
    <w:rsid w:val="00153995"/>
    <w:rsid w:val="00153ADE"/>
    <w:rsid w:val="001625B4"/>
    <w:rsid w:val="001662E4"/>
    <w:rsid w:val="00166FD6"/>
    <w:rsid w:val="00167221"/>
    <w:rsid w:val="00167C3A"/>
    <w:rsid w:val="00167D2B"/>
    <w:rsid w:val="00171CE6"/>
    <w:rsid w:val="001749EB"/>
    <w:rsid w:val="00175387"/>
    <w:rsid w:val="00176769"/>
    <w:rsid w:val="001774F8"/>
    <w:rsid w:val="0018246A"/>
    <w:rsid w:val="00182B3B"/>
    <w:rsid w:val="00185018"/>
    <w:rsid w:val="001872C1"/>
    <w:rsid w:val="00187B0B"/>
    <w:rsid w:val="00187E42"/>
    <w:rsid w:val="001904B8"/>
    <w:rsid w:val="00191BD2"/>
    <w:rsid w:val="001924B9"/>
    <w:rsid w:val="00194605"/>
    <w:rsid w:val="0019690B"/>
    <w:rsid w:val="00197954"/>
    <w:rsid w:val="001A08BF"/>
    <w:rsid w:val="001A1130"/>
    <w:rsid w:val="001A167F"/>
    <w:rsid w:val="001A2AB1"/>
    <w:rsid w:val="001A2C01"/>
    <w:rsid w:val="001A32A2"/>
    <w:rsid w:val="001A35B1"/>
    <w:rsid w:val="001A3C83"/>
    <w:rsid w:val="001A7F2E"/>
    <w:rsid w:val="001B21E7"/>
    <w:rsid w:val="001B3872"/>
    <w:rsid w:val="001B63F2"/>
    <w:rsid w:val="001B6435"/>
    <w:rsid w:val="001B6574"/>
    <w:rsid w:val="001B72F5"/>
    <w:rsid w:val="001C089E"/>
    <w:rsid w:val="001C08D6"/>
    <w:rsid w:val="001C0F52"/>
    <w:rsid w:val="001C2DA4"/>
    <w:rsid w:val="001C3E56"/>
    <w:rsid w:val="001C4480"/>
    <w:rsid w:val="001D09EA"/>
    <w:rsid w:val="001D0D2E"/>
    <w:rsid w:val="001D0D78"/>
    <w:rsid w:val="001D5F1B"/>
    <w:rsid w:val="001D5F7E"/>
    <w:rsid w:val="001D6522"/>
    <w:rsid w:val="001E081D"/>
    <w:rsid w:val="001E0A3F"/>
    <w:rsid w:val="001E1061"/>
    <w:rsid w:val="001E3629"/>
    <w:rsid w:val="001E4E86"/>
    <w:rsid w:val="001E5390"/>
    <w:rsid w:val="001E688B"/>
    <w:rsid w:val="001E6892"/>
    <w:rsid w:val="001E725A"/>
    <w:rsid w:val="001E774E"/>
    <w:rsid w:val="001F09BE"/>
    <w:rsid w:val="001F1401"/>
    <w:rsid w:val="001F1C37"/>
    <w:rsid w:val="001F37C4"/>
    <w:rsid w:val="001F3895"/>
    <w:rsid w:val="001F390C"/>
    <w:rsid w:val="001F4A08"/>
    <w:rsid w:val="001F55DA"/>
    <w:rsid w:val="001F5609"/>
    <w:rsid w:val="001F576E"/>
    <w:rsid w:val="001F7726"/>
    <w:rsid w:val="002000A9"/>
    <w:rsid w:val="00201DE2"/>
    <w:rsid w:val="002038A4"/>
    <w:rsid w:val="00204083"/>
    <w:rsid w:val="00205098"/>
    <w:rsid w:val="00205AAC"/>
    <w:rsid w:val="00207C59"/>
    <w:rsid w:val="002132CF"/>
    <w:rsid w:val="002150A5"/>
    <w:rsid w:val="00215A34"/>
    <w:rsid w:val="0022001D"/>
    <w:rsid w:val="00221579"/>
    <w:rsid w:val="0022160A"/>
    <w:rsid w:val="00221720"/>
    <w:rsid w:val="00222C18"/>
    <w:rsid w:val="0022439A"/>
    <w:rsid w:val="002251C2"/>
    <w:rsid w:val="00225851"/>
    <w:rsid w:val="0022775A"/>
    <w:rsid w:val="00227A95"/>
    <w:rsid w:val="00232F64"/>
    <w:rsid w:val="002332D9"/>
    <w:rsid w:val="002334AE"/>
    <w:rsid w:val="002346F7"/>
    <w:rsid w:val="00234C5B"/>
    <w:rsid w:val="00234D50"/>
    <w:rsid w:val="0023550C"/>
    <w:rsid w:val="00235665"/>
    <w:rsid w:val="00236304"/>
    <w:rsid w:val="00237713"/>
    <w:rsid w:val="00240D89"/>
    <w:rsid w:val="00241BCC"/>
    <w:rsid w:val="0024257D"/>
    <w:rsid w:val="00242819"/>
    <w:rsid w:val="002436CD"/>
    <w:rsid w:val="002451FA"/>
    <w:rsid w:val="00245410"/>
    <w:rsid w:val="00246A2E"/>
    <w:rsid w:val="00246BAF"/>
    <w:rsid w:val="00246BB1"/>
    <w:rsid w:val="00247B9A"/>
    <w:rsid w:val="00247C11"/>
    <w:rsid w:val="00251193"/>
    <w:rsid w:val="00253C8F"/>
    <w:rsid w:val="00257664"/>
    <w:rsid w:val="00260ADB"/>
    <w:rsid w:val="0026162C"/>
    <w:rsid w:val="00262718"/>
    <w:rsid w:val="00262A94"/>
    <w:rsid w:val="00265779"/>
    <w:rsid w:val="002662BC"/>
    <w:rsid w:val="00267CBC"/>
    <w:rsid w:val="00271AE3"/>
    <w:rsid w:val="002721C0"/>
    <w:rsid w:val="0027310C"/>
    <w:rsid w:val="00273E29"/>
    <w:rsid w:val="00273EE7"/>
    <w:rsid w:val="00274C73"/>
    <w:rsid w:val="00275755"/>
    <w:rsid w:val="0027626F"/>
    <w:rsid w:val="00276524"/>
    <w:rsid w:val="00276BDB"/>
    <w:rsid w:val="002806BF"/>
    <w:rsid w:val="00280B33"/>
    <w:rsid w:val="00282326"/>
    <w:rsid w:val="00282882"/>
    <w:rsid w:val="00282BC7"/>
    <w:rsid w:val="002834F3"/>
    <w:rsid w:val="00283BCA"/>
    <w:rsid w:val="00284055"/>
    <w:rsid w:val="0028474A"/>
    <w:rsid w:val="00286394"/>
    <w:rsid w:val="002902AC"/>
    <w:rsid w:val="00290A00"/>
    <w:rsid w:val="00292198"/>
    <w:rsid w:val="002933CD"/>
    <w:rsid w:val="0029491B"/>
    <w:rsid w:val="00296EB1"/>
    <w:rsid w:val="002A0C31"/>
    <w:rsid w:val="002A17C0"/>
    <w:rsid w:val="002A36CD"/>
    <w:rsid w:val="002A41EB"/>
    <w:rsid w:val="002A4D8E"/>
    <w:rsid w:val="002A60C1"/>
    <w:rsid w:val="002A708B"/>
    <w:rsid w:val="002B1C7D"/>
    <w:rsid w:val="002B3B31"/>
    <w:rsid w:val="002B5919"/>
    <w:rsid w:val="002B5D06"/>
    <w:rsid w:val="002C0062"/>
    <w:rsid w:val="002C30A6"/>
    <w:rsid w:val="002C31FF"/>
    <w:rsid w:val="002C3739"/>
    <w:rsid w:val="002C4C01"/>
    <w:rsid w:val="002D0084"/>
    <w:rsid w:val="002D0250"/>
    <w:rsid w:val="002D1139"/>
    <w:rsid w:val="002D16F6"/>
    <w:rsid w:val="002D2AA7"/>
    <w:rsid w:val="002D3A4D"/>
    <w:rsid w:val="002D4059"/>
    <w:rsid w:val="002D654A"/>
    <w:rsid w:val="002E0827"/>
    <w:rsid w:val="002E18DA"/>
    <w:rsid w:val="002E1A10"/>
    <w:rsid w:val="002E46EF"/>
    <w:rsid w:val="002E5FF1"/>
    <w:rsid w:val="002E6B2C"/>
    <w:rsid w:val="002E7418"/>
    <w:rsid w:val="002F06F2"/>
    <w:rsid w:val="002F1BB4"/>
    <w:rsid w:val="002F215D"/>
    <w:rsid w:val="002F25F9"/>
    <w:rsid w:val="002F2A88"/>
    <w:rsid w:val="002F455B"/>
    <w:rsid w:val="002F5F00"/>
    <w:rsid w:val="0030001C"/>
    <w:rsid w:val="00303057"/>
    <w:rsid w:val="00303EBB"/>
    <w:rsid w:val="0030437E"/>
    <w:rsid w:val="00304DAC"/>
    <w:rsid w:val="00305CAD"/>
    <w:rsid w:val="0030685E"/>
    <w:rsid w:val="00306883"/>
    <w:rsid w:val="00306CBB"/>
    <w:rsid w:val="00310E9D"/>
    <w:rsid w:val="00311090"/>
    <w:rsid w:val="00312B58"/>
    <w:rsid w:val="00312E4F"/>
    <w:rsid w:val="003156DB"/>
    <w:rsid w:val="0031634E"/>
    <w:rsid w:val="00316D00"/>
    <w:rsid w:val="00320739"/>
    <w:rsid w:val="00320BA5"/>
    <w:rsid w:val="00322478"/>
    <w:rsid w:val="0032515C"/>
    <w:rsid w:val="003269B1"/>
    <w:rsid w:val="003274B2"/>
    <w:rsid w:val="0032754B"/>
    <w:rsid w:val="003277E4"/>
    <w:rsid w:val="00327FBB"/>
    <w:rsid w:val="003307B9"/>
    <w:rsid w:val="00330AC8"/>
    <w:rsid w:val="00333B28"/>
    <w:rsid w:val="00336859"/>
    <w:rsid w:val="00337AD2"/>
    <w:rsid w:val="00337F65"/>
    <w:rsid w:val="00340F5D"/>
    <w:rsid w:val="0034165E"/>
    <w:rsid w:val="003423D2"/>
    <w:rsid w:val="00343030"/>
    <w:rsid w:val="00345393"/>
    <w:rsid w:val="00345834"/>
    <w:rsid w:val="003474A7"/>
    <w:rsid w:val="00347DA1"/>
    <w:rsid w:val="00351C92"/>
    <w:rsid w:val="00351CA0"/>
    <w:rsid w:val="00351FBB"/>
    <w:rsid w:val="00352F60"/>
    <w:rsid w:val="003539A7"/>
    <w:rsid w:val="0035509C"/>
    <w:rsid w:val="00357B28"/>
    <w:rsid w:val="00357B65"/>
    <w:rsid w:val="00357B7C"/>
    <w:rsid w:val="00357BC3"/>
    <w:rsid w:val="00362B5D"/>
    <w:rsid w:val="0036413C"/>
    <w:rsid w:val="003657FF"/>
    <w:rsid w:val="00366839"/>
    <w:rsid w:val="003724A7"/>
    <w:rsid w:val="0037389C"/>
    <w:rsid w:val="00374064"/>
    <w:rsid w:val="00374A58"/>
    <w:rsid w:val="00374F95"/>
    <w:rsid w:val="003757C9"/>
    <w:rsid w:val="003804AD"/>
    <w:rsid w:val="0038073E"/>
    <w:rsid w:val="00381664"/>
    <w:rsid w:val="0038298A"/>
    <w:rsid w:val="003839CA"/>
    <w:rsid w:val="0038413E"/>
    <w:rsid w:val="003849BC"/>
    <w:rsid w:val="00384FF3"/>
    <w:rsid w:val="00386EC6"/>
    <w:rsid w:val="00387201"/>
    <w:rsid w:val="003875DB"/>
    <w:rsid w:val="00387F17"/>
    <w:rsid w:val="00393227"/>
    <w:rsid w:val="00393762"/>
    <w:rsid w:val="00394149"/>
    <w:rsid w:val="00394A80"/>
    <w:rsid w:val="003A13AF"/>
    <w:rsid w:val="003A3306"/>
    <w:rsid w:val="003A6289"/>
    <w:rsid w:val="003A72C3"/>
    <w:rsid w:val="003A7FBB"/>
    <w:rsid w:val="003B1766"/>
    <w:rsid w:val="003B270E"/>
    <w:rsid w:val="003B4916"/>
    <w:rsid w:val="003B5928"/>
    <w:rsid w:val="003B6917"/>
    <w:rsid w:val="003B6C11"/>
    <w:rsid w:val="003B6D68"/>
    <w:rsid w:val="003B754A"/>
    <w:rsid w:val="003B7BDA"/>
    <w:rsid w:val="003C0655"/>
    <w:rsid w:val="003C0D3A"/>
    <w:rsid w:val="003C0FF7"/>
    <w:rsid w:val="003C140F"/>
    <w:rsid w:val="003C15F0"/>
    <w:rsid w:val="003C240E"/>
    <w:rsid w:val="003C4D9D"/>
    <w:rsid w:val="003C4F74"/>
    <w:rsid w:val="003C5699"/>
    <w:rsid w:val="003D20E3"/>
    <w:rsid w:val="003D38C8"/>
    <w:rsid w:val="003D4F86"/>
    <w:rsid w:val="003D5BFB"/>
    <w:rsid w:val="003D610B"/>
    <w:rsid w:val="003D746A"/>
    <w:rsid w:val="003D77A4"/>
    <w:rsid w:val="003E0E81"/>
    <w:rsid w:val="003E3302"/>
    <w:rsid w:val="003E4BF1"/>
    <w:rsid w:val="003E4E59"/>
    <w:rsid w:val="003E56DA"/>
    <w:rsid w:val="003E5914"/>
    <w:rsid w:val="003E6CA3"/>
    <w:rsid w:val="003E71F4"/>
    <w:rsid w:val="003E7289"/>
    <w:rsid w:val="003E73BD"/>
    <w:rsid w:val="003E7FDE"/>
    <w:rsid w:val="003F19B8"/>
    <w:rsid w:val="003F207C"/>
    <w:rsid w:val="003F4AEC"/>
    <w:rsid w:val="003F569D"/>
    <w:rsid w:val="003F64BD"/>
    <w:rsid w:val="004041CF"/>
    <w:rsid w:val="0040569D"/>
    <w:rsid w:val="0040791B"/>
    <w:rsid w:val="00407E02"/>
    <w:rsid w:val="004118C7"/>
    <w:rsid w:val="00411DDF"/>
    <w:rsid w:val="004121E3"/>
    <w:rsid w:val="00412705"/>
    <w:rsid w:val="00412C66"/>
    <w:rsid w:val="00412D9A"/>
    <w:rsid w:val="0041306F"/>
    <w:rsid w:val="00415462"/>
    <w:rsid w:val="004156A1"/>
    <w:rsid w:val="00416051"/>
    <w:rsid w:val="00416403"/>
    <w:rsid w:val="00421B44"/>
    <w:rsid w:val="0042268B"/>
    <w:rsid w:val="00422A0F"/>
    <w:rsid w:val="00423416"/>
    <w:rsid w:val="004240FF"/>
    <w:rsid w:val="00424AFA"/>
    <w:rsid w:val="0042534B"/>
    <w:rsid w:val="00425584"/>
    <w:rsid w:val="0042572C"/>
    <w:rsid w:val="004263CE"/>
    <w:rsid w:val="00426588"/>
    <w:rsid w:val="00427593"/>
    <w:rsid w:val="00427C53"/>
    <w:rsid w:val="004304B8"/>
    <w:rsid w:val="00431311"/>
    <w:rsid w:val="00432271"/>
    <w:rsid w:val="00434383"/>
    <w:rsid w:val="00434D1D"/>
    <w:rsid w:val="004354DF"/>
    <w:rsid w:val="00436A0E"/>
    <w:rsid w:val="0044297E"/>
    <w:rsid w:val="00443ED0"/>
    <w:rsid w:val="00444379"/>
    <w:rsid w:val="00444565"/>
    <w:rsid w:val="0044705E"/>
    <w:rsid w:val="004516A2"/>
    <w:rsid w:val="00452E3E"/>
    <w:rsid w:val="004543EA"/>
    <w:rsid w:val="00454D68"/>
    <w:rsid w:val="0045547C"/>
    <w:rsid w:val="00455713"/>
    <w:rsid w:val="00455AB4"/>
    <w:rsid w:val="00455D8C"/>
    <w:rsid w:val="004567C9"/>
    <w:rsid w:val="00457A1C"/>
    <w:rsid w:val="00457F93"/>
    <w:rsid w:val="00460703"/>
    <w:rsid w:val="00460825"/>
    <w:rsid w:val="004610E4"/>
    <w:rsid w:val="00462140"/>
    <w:rsid w:val="004621EC"/>
    <w:rsid w:val="00462D76"/>
    <w:rsid w:val="00462FD6"/>
    <w:rsid w:val="00464050"/>
    <w:rsid w:val="004646C5"/>
    <w:rsid w:val="00470589"/>
    <w:rsid w:val="004762D9"/>
    <w:rsid w:val="004779B8"/>
    <w:rsid w:val="00481470"/>
    <w:rsid w:val="0048152A"/>
    <w:rsid w:val="00482093"/>
    <w:rsid w:val="004825BD"/>
    <w:rsid w:val="004825E9"/>
    <w:rsid w:val="00482CC0"/>
    <w:rsid w:val="00483AFF"/>
    <w:rsid w:val="004843FF"/>
    <w:rsid w:val="00487829"/>
    <w:rsid w:val="00492A63"/>
    <w:rsid w:val="004930A1"/>
    <w:rsid w:val="00493D15"/>
    <w:rsid w:val="0049405B"/>
    <w:rsid w:val="0049517C"/>
    <w:rsid w:val="00495212"/>
    <w:rsid w:val="0049570C"/>
    <w:rsid w:val="00495785"/>
    <w:rsid w:val="00495A96"/>
    <w:rsid w:val="00495B2A"/>
    <w:rsid w:val="0049646A"/>
    <w:rsid w:val="004A0099"/>
    <w:rsid w:val="004A0C2A"/>
    <w:rsid w:val="004A2412"/>
    <w:rsid w:val="004A2C87"/>
    <w:rsid w:val="004A31D7"/>
    <w:rsid w:val="004A7163"/>
    <w:rsid w:val="004B122C"/>
    <w:rsid w:val="004B19D2"/>
    <w:rsid w:val="004B1B75"/>
    <w:rsid w:val="004B247E"/>
    <w:rsid w:val="004B3BB3"/>
    <w:rsid w:val="004B3C50"/>
    <w:rsid w:val="004B4825"/>
    <w:rsid w:val="004B530F"/>
    <w:rsid w:val="004B59D7"/>
    <w:rsid w:val="004B63ED"/>
    <w:rsid w:val="004C0B00"/>
    <w:rsid w:val="004C1054"/>
    <w:rsid w:val="004C1407"/>
    <w:rsid w:val="004C1E2A"/>
    <w:rsid w:val="004C444A"/>
    <w:rsid w:val="004C57B2"/>
    <w:rsid w:val="004C59E5"/>
    <w:rsid w:val="004D54A2"/>
    <w:rsid w:val="004E149D"/>
    <w:rsid w:val="004E28C9"/>
    <w:rsid w:val="004E2C59"/>
    <w:rsid w:val="004E5473"/>
    <w:rsid w:val="004E5C49"/>
    <w:rsid w:val="004E5E60"/>
    <w:rsid w:val="004E6F81"/>
    <w:rsid w:val="004F10B5"/>
    <w:rsid w:val="004F2DD9"/>
    <w:rsid w:val="004F478A"/>
    <w:rsid w:val="004F4AB9"/>
    <w:rsid w:val="005005A6"/>
    <w:rsid w:val="00501E40"/>
    <w:rsid w:val="00511450"/>
    <w:rsid w:val="0051207B"/>
    <w:rsid w:val="005134C7"/>
    <w:rsid w:val="00513C51"/>
    <w:rsid w:val="0051443A"/>
    <w:rsid w:val="005144E2"/>
    <w:rsid w:val="00514F0E"/>
    <w:rsid w:val="0052274C"/>
    <w:rsid w:val="005237D4"/>
    <w:rsid w:val="005247E9"/>
    <w:rsid w:val="00524A69"/>
    <w:rsid w:val="00524D02"/>
    <w:rsid w:val="00525A2A"/>
    <w:rsid w:val="00525AC7"/>
    <w:rsid w:val="0052602D"/>
    <w:rsid w:val="005263E9"/>
    <w:rsid w:val="0052645B"/>
    <w:rsid w:val="005272B1"/>
    <w:rsid w:val="00530847"/>
    <w:rsid w:val="00530E3B"/>
    <w:rsid w:val="00531806"/>
    <w:rsid w:val="005335FF"/>
    <w:rsid w:val="00536948"/>
    <w:rsid w:val="00542636"/>
    <w:rsid w:val="00543177"/>
    <w:rsid w:val="00545F72"/>
    <w:rsid w:val="00546758"/>
    <w:rsid w:val="005474AE"/>
    <w:rsid w:val="00550297"/>
    <w:rsid w:val="0055059E"/>
    <w:rsid w:val="00552A43"/>
    <w:rsid w:val="0055386C"/>
    <w:rsid w:val="00553F94"/>
    <w:rsid w:val="00554D24"/>
    <w:rsid w:val="00555C50"/>
    <w:rsid w:val="005564B0"/>
    <w:rsid w:val="00556638"/>
    <w:rsid w:val="00557A89"/>
    <w:rsid w:val="005625FA"/>
    <w:rsid w:val="00562D9B"/>
    <w:rsid w:val="00564A6F"/>
    <w:rsid w:val="00564B4C"/>
    <w:rsid w:val="00564F9D"/>
    <w:rsid w:val="00565272"/>
    <w:rsid w:val="00566C8C"/>
    <w:rsid w:val="005672A7"/>
    <w:rsid w:val="00570354"/>
    <w:rsid w:val="005703F8"/>
    <w:rsid w:val="005717A8"/>
    <w:rsid w:val="00573061"/>
    <w:rsid w:val="00573A9E"/>
    <w:rsid w:val="00574CFF"/>
    <w:rsid w:val="00580116"/>
    <w:rsid w:val="005809BD"/>
    <w:rsid w:val="005812F0"/>
    <w:rsid w:val="005825B1"/>
    <w:rsid w:val="00583419"/>
    <w:rsid w:val="00586016"/>
    <w:rsid w:val="00590A73"/>
    <w:rsid w:val="00590BDC"/>
    <w:rsid w:val="00591455"/>
    <w:rsid w:val="0059171C"/>
    <w:rsid w:val="00591A33"/>
    <w:rsid w:val="00594A7C"/>
    <w:rsid w:val="00594B14"/>
    <w:rsid w:val="00594B5B"/>
    <w:rsid w:val="00597EE4"/>
    <w:rsid w:val="005A00C7"/>
    <w:rsid w:val="005A0529"/>
    <w:rsid w:val="005A25BF"/>
    <w:rsid w:val="005A2CF9"/>
    <w:rsid w:val="005A355C"/>
    <w:rsid w:val="005A362D"/>
    <w:rsid w:val="005A61CF"/>
    <w:rsid w:val="005B1045"/>
    <w:rsid w:val="005B1681"/>
    <w:rsid w:val="005B40E9"/>
    <w:rsid w:val="005B4147"/>
    <w:rsid w:val="005B53C9"/>
    <w:rsid w:val="005B546E"/>
    <w:rsid w:val="005B555B"/>
    <w:rsid w:val="005B6082"/>
    <w:rsid w:val="005B736C"/>
    <w:rsid w:val="005B7641"/>
    <w:rsid w:val="005B7A67"/>
    <w:rsid w:val="005C1EB0"/>
    <w:rsid w:val="005C2038"/>
    <w:rsid w:val="005C2F9F"/>
    <w:rsid w:val="005C3B54"/>
    <w:rsid w:val="005C3F7D"/>
    <w:rsid w:val="005C572C"/>
    <w:rsid w:val="005D125A"/>
    <w:rsid w:val="005D176E"/>
    <w:rsid w:val="005D225D"/>
    <w:rsid w:val="005D236A"/>
    <w:rsid w:val="005D36F0"/>
    <w:rsid w:val="005D4681"/>
    <w:rsid w:val="005D5D76"/>
    <w:rsid w:val="005D6AA6"/>
    <w:rsid w:val="005E0D55"/>
    <w:rsid w:val="005E5223"/>
    <w:rsid w:val="005E6C82"/>
    <w:rsid w:val="005F1527"/>
    <w:rsid w:val="005F3662"/>
    <w:rsid w:val="005F5E0F"/>
    <w:rsid w:val="005F6779"/>
    <w:rsid w:val="005F769B"/>
    <w:rsid w:val="006008DD"/>
    <w:rsid w:val="00601209"/>
    <w:rsid w:val="00602718"/>
    <w:rsid w:val="0060370F"/>
    <w:rsid w:val="0060489F"/>
    <w:rsid w:val="0060714C"/>
    <w:rsid w:val="00610232"/>
    <w:rsid w:val="0061114A"/>
    <w:rsid w:val="00612D50"/>
    <w:rsid w:val="00612EE5"/>
    <w:rsid w:val="00613DAA"/>
    <w:rsid w:val="006140C0"/>
    <w:rsid w:val="00615ACD"/>
    <w:rsid w:val="0061658B"/>
    <w:rsid w:val="006166C9"/>
    <w:rsid w:val="00617288"/>
    <w:rsid w:val="006216B7"/>
    <w:rsid w:val="006216E2"/>
    <w:rsid w:val="006241BD"/>
    <w:rsid w:val="00626D68"/>
    <w:rsid w:val="006303C0"/>
    <w:rsid w:val="00630E93"/>
    <w:rsid w:val="00630FAB"/>
    <w:rsid w:val="00634BAE"/>
    <w:rsid w:val="0063605F"/>
    <w:rsid w:val="00636109"/>
    <w:rsid w:val="00637263"/>
    <w:rsid w:val="006433EE"/>
    <w:rsid w:val="006469BB"/>
    <w:rsid w:val="00647220"/>
    <w:rsid w:val="00650A8E"/>
    <w:rsid w:val="00650E5C"/>
    <w:rsid w:val="00651413"/>
    <w:rsid w:val="00653C21"/>
    <w:rsid w:val="00654BB5"/>
    <w:rsid w:val="006571E6"/>
    <w:rsid w:val="00661736"/>
    <w:rsid w:val="0066436E"/>
    <w:rsid w:val="00664D1F"/>
    <w:rsid w:val="006653CC"/>
    <w:rsid w:val="006664C7"/>
    <w:rsid w:val="00666626"/>
    <w:rsid w:val="00666A7E"/>
    <w:rsid w:val="0066712F"/>
    <w:rsid w:val="0066733E"/>
    <w:rsid w:val="0067294E"/>
    <w:rsid w:val="00672FCF"/>
    <w:rsid w:val="00673F61"/>
    <w:rsid w:val="00674600"/>
    <w:rsid w:val="006747E7"/>
    <w:rsid w:val="00675583"/>
    <w:rsid w:val="00677A07"/>
    <w:rsid w:val="006813BA"/>
    <w:rsid w:val="0068170E"/>
    <w:rsid w:val="006833B6"/>
    <w:rsid w:val="00683B3A"/>
    <w:rsid w:val="00683B8B"/>
    <w:rsid w:val="0068630B"/>
    <w:rsid w:val="00686E9B"/>
    <w:rsid w:val="00690827"/>
    <w:rsid w:val="0069196F"/>
    <w:rsid w:val="00692969"/>
    <w:rsid w:val="00695171"/>
    <w:rsid w:val="00695918"/>
    <w:rsid w:val="00695BF1"/>
    <w:rsid w:val="00695ED7"/>
    <w:rsid w:val="006A0F02"/>
    <w:rsid w:val="006A1336"/>
    <w:rsid w:val="006A1458"/>
    <w:rsid w:val="006A1FEB"/>
    <w:rsid w:val="006A71F3"/>
    <w:rsid w:val="006A77CC"/>
    <w:rsid w:val="006A7C78"/>
    <w:rsid w:val="006B06A9"/>
    <w:rsid w:val="006B0E9E"/>
    <w:rsid w:val="006B1B50"/>
    <w:rsid w:val="006B3F42"/>
    <w:rsid w:val="006B410F"/>
    <w:rsid w:val="006B4563"/>
    <w:rsid w:val="006B50B0"/>
    <w:rsid w:val="006B594C"/>
    <w:rsid w:val="006B5AD4"/>
    <w:rsid w:val="006B61CE"/>
    <w:rsid w:val="006C2050"/>
    <w:rsid w:val="006C30E7"/>
    <w:rsid w:val="006C35E9"/>
    <w:rsid w:val="006C401C"/>
    <w:rsid w:val="006C41C8"/>
    <w:rsid w:val="006C4EA3"/>
    <w:rsid w:val="006C5D78"/>
    <w:rsid w:val="006C5E41"/>
    <w:rsid w:val="006C714E"/>
    <w:rsid w:val="006D05D0"/>
    <w:rsid w:val="006D101E"/>
    <w:rsid w:val="006D2EF2"/>
    <w:rsid w:val="006D397F"/>
    <w:rsid w:val="006D4248"/>
    <w:rsid w:val="006D6A67"/>
    <w:rsid w:val="006D6A6A"/>
    <w:rsid w:val="006D6D72"/>
    <w:rsid w:val="006D76EC"/>
    <w:rsid w:val="006D7BA1"/>
    <w:rsid w:val="006D7D33"/>
    <w:rsid w:val="006E0331"/>
    <w:rsid w:val="006E0A62"/>
    <w:rsid w:val="006E0B64"/>
    <w:rsid w:val="006E0F8F"/>
    <w:rsid w:val="006E13C9"/>
    <w:rsid w:val="006E231E"/>
    <w:rsid w:val="006E4AD9"/>
    <w:rsid w:val="006E5A41"/>
    <w:rsid w:val="006E6417"/>
    <w:rsid w:val="006E7D08"/>
    <w:rsid w:val="006F018C"/>
    <w:rsid w:val="006F0D37"/>
    <w:rsid w:val="006F1A0D"/>
    <w:rsid w:val="006F29A8"/>
    <w:rsid w:val="006F382C"/>
    <w:rsid w:val="006F53BD"/>
    <w:rsid w:val="006F5601"/>
    <w:rsid w:val="006F68B1"/>
    <w:rsid w:val="006F7913"/>
    <w:rsid w:val="00700E4C"/>
    <w:rsid w:val="00701162"/>
    <w:rsid w:val="0070364F"/>
    <w:rsid w:val="00703CC1"/>
    <w:rsid w:val="00704801"/>
    <w:rsid w:val="0070507C"/>
    <w:rsid w:val="007055E2"/>
    <w:rsid w:val="007063C9"/>
    <w:rsid w:val="007066A7"/>
    <w:rsid w:val="00706B68"/>
    <w:rsid w:val="007105CA"/>
    <w:rsid w:val="007139F7"/>
    <w:rsid w:val="00713EBB"/>
    <w:rsid w:val="007214B7"/>
    <w:rsid w:val="007225E9"/>
    <w:rsid w:val="0072350F"/>
    <w:rsid w:val="00724980"/>
    <w:rsid w:val="00724DD4"/>
    <w:rsid w:val="00725B19"/>
    <w:rsid w:val="00727796"/>
    <w:rsid w:val="00733CE4"/>
    <w:rsid w:val="007343E3"/>
    <w:rsid w:val="00741BD1"/>
    <w:rsid w:val="00742529"/>
    <w:rsid w:val="00743478"/>
    <w:rsid w:val="00743E07"/>
    <w:rsid w:val="007443BF"/>
    <w:rsid w:val="00744865"/>
    <w:rsid w:val="0074637A"/>
    <w:rsid w:val="007529B3"/>
    <w:rsid w:val="00753646"/>
    <w:rsid w:val="00753A0A"/>
    <w:rsid w:val="00753FFD"/>
    <w:rsid w:val="00754F4F"/>
    <w:rsid w:val="00762DA3"/>
    <w:rsid w:val="00763E4E"/>
    <w:rsid w:val="00764F95"/>
    <w:rsid w:val="00765B71"/>
    <w:rsid w:val="007661BE"/>
    <w:rsid w:val="00767112"/>
    <w:rsid w:val="00767DA6"/>
    <w:rsid w:val="00767FF5"/>
    <w:rsid w:val="00771FDB"/>
    <w:rsid w:val="00772292"/>
    <w:rsid w:val="00772B7C"/>
    <w:rsid w:val="00773872"/>
    <w:rsid w:val="00774807"/>
    <w:rsid w:val="00774EAE"/>
    <w:rsid w:val="00775372"/>
    <w:rsid w:val="0077629F"/>
    <w:rsid w:val="00777E63"/>
    <w:rsid w:val="00780A74"/>
    <w:rsid w:val="00781B46"/>
    <w:rsid w:val="007821EE"/>
    <w:rsid w:val="007823EC"/>
    <w:rsid w:val="00784722"/>
    <w:rsid w:val="00785A87"/>
    <w:rsid w:val="00786B8B"/>
    <w:rsid w:val="00786DEA"/>
    <w:rsid w:val="00787A6F"/>
    <w:rsid w:val="00787EB8"/>
    <w:rsid w:val="00787ED8"/>
    <w:rsid w:val="007900FC"/>
    <w:rsid w:val="0079453C"/>
    <w:rsid w:val="00795011"/>
    <w:rsid w:val="007971A0"/>
    <w:rsid w:val="007A0617"/>
    <w:rsid w:val="007A1AE9"/>
    <w:rsid w:val="007A6A09"/>
    <w:rsid w:val="007B1119"/>
    <w:rsid w:val="007B2F63"/>
    <w:rsid w:val="007C0E49"/>
    <w:rsid w:val="007C17AC"/>
    <w:rsid w:val="007C22A6"/>
    <w:rsid w:val="007C3695"/>
    <w:rsid w:val="007C4B0D"/>
    <w:rsid w:val="007C6710"/>
    <w:rsid w:val="007D1819"/>
    <w:rsid w:val="007D48F7"/>
    <w:rsid w:val="007D6706"/>
    <w:rsid w:val="007D6CAB"/>
    <w:rsid w:val="007E0098"/>
    <w:rsid w:val="007E0A67"/>
    <w:rsid w:val="007E0B0B"/>
    <w:rsid w:val="007E0D04"/>
    <w:rsid w:val="007E1D35"/>
    <w:rsid w:val="007E23E5"/>
    <w:rsid w:val="007E3778"/>
    <w:rsid w:val="007E3C0A"/>
    <w:rsid w:val="007E5BE7"/>
    <w:rsid w:val="007F0EC4"/>
    <w:rsid w:val="007F12E1"/>
    <w:rsid w:val="007F132F"/>
    <w:rsid w:val="007F2333"/>
    <w:rsid w:val="007F37A1"/>
    <w:rsid w:val="007F6902"/>
    <w:rsid w:val="007F6E58"/>
    <w:rsid w:val="007F7F2D"/>
    <w:rsid w:val="008009C0"/>
    <w:rsid w:val="00800A60"/>
    <w:rsid w:val="00802792"/>
    <w:rsid w:val="0080444A"/>
    <w:rsid w:val="00805725"/>
    <w:rsid w:val="008057E1"/>
    <w:rsid w:val="008065BF"/>
    <w:rsid w:val="00806FB7"/>
    <w:rsid w:val="008079F8"/>
    <w:rsid w:val="00810607"/>
    <w:rsid w:val="00812CA6"/>
    <w:rsid w:val="00812CDC"/>
    <w:rsid w:val="00813247"/>
    <w:rsid w:val="008136E7"/>
    <w:rsid w:val="00816567"/>
    <w:rsid w:val="008167C5"/>
    <w:rsid w:val="008215AA"/>
    <w:rsid w:val="008218FC"/>
    <w:rsid w:val="0082447A"/>
    <w:rsid w:val="008254A6"/>
    <w:rsid w:val="0082628E"/>
    <w:rsid w:val="008265DB"/>
    <w:rsid w:val="00826D64"/>
    <w:rsid w:val="00827774"/>
    <w:rsid w:val="00831781"/>
    <w:rsid w:val="00831EEE"/>
    <w:rsid w:val="00832EE8"/>
    <w:rsid w:val="008333E7"/>
    <w:rsid w:val="00834C7C"/>
    <w:rsid w:val="0083556D"/>
    <w:rsid w:val="00842A00"/>
    <w:rsid w:val="008438C4"/>
    <w:rsid w:val="00843CB7"/>
    <w:rsid w:val="0084650C"/>
    <w:rsid w:val="00847083"/>
    <w:rsid w:val="00850F0A"/>
    <w:rsid w:val="00851FF0"/>
    <w:rsid w:val="00852353"/>
    <w:rsid w:val="0085240C"/>
    <w:rsid w:val="00852A26"/>
    <w:rsid w:val="00853C93"/>
    <w:rsid w:val="00855254"/>
    <w:rsid w:val="00855D47"/>
    <w:rsid w:val="00860028"/>
    <w:rsid w:val="0086006B"/>
    <w:rsid w:val="008621A5"/>
    <w:rsid w:val="00863138"/>
    <w:rsid w:val="00863801"/>
    <w:rsid w:val="00865668"/>
    <w:rsid w:val="00867237"/>
    <w:rsid w:val="008706D4"/>
    <w:rsid w:val="008720BB"/>
    <w:rsid w:val="00873975"/>
    <w:rsid w:val="00874ECB"/>
    <w:rsid w:val="008822D3"/>
    <w:rsid w:val="00883C0D"/>
    <w:rsid w:val="00884953"/>
    <w:rsid w:val="00884A20"/>
    <w:rsid w:val="00884A42"/>
    <w:rsid w:val="00885117"/>
    <w:rsid w:val="00885171"/>
    <w:rsid w:val="008859F9"/>
    <w:rsid w:val="00885E62"/>
    <w:rsid w:val="00887298"/>
    <w:rsid w:val="008874FC"/>
    <w:rsid w:val="008911ED"/>
    <w:rsid w:val="00892B6C"/>
    <w:rsid w:val="00893D15"/>
    <w:rsid w:val="00894AA5"/>
    <w:rsid w:val="008957E8"/>
    <w:rsid w:val="00896EA3"/>
    <w:rsid w:val="00896EBC"/>
    <w:rsid w:val="008A115E"/>
    <w:rsid w:val="008A2A39"/>
    <w:rsid w:val="008A3143"/>
    <w:rsid w:val="008A43AA"/>
    <w:rsid w:val="008A4E93"/>
    <w:rsid w:val="008A5756"/>
    <w:rsid w:val="008A5809"/>
    <w:rsid w:val="008A5ADF"/>
    <w:rsid w:val="008A6F33"/>
    <w:rsid w:val="008A7022"/>
    <w:rsid w:val="008B1446"/>
    <w:rsid w:val="008B2FBA"/>
    <w:rsid w:val="008B4012"/>
    <w:rsid w:val="008B6030"/>
    <w:rsid w:val="008B7A09"/>
    <w:rsid w:val="008B7E8A"/>
    <w:rsid w:val="008C0C38"/>
    <w:rsid w:val="008C3B2B"/>
    <w:rsid w:val="008C41D4"/>
    <w:rsid w:val="008C5821"/>
    <w:rsid w:val="008C62FE"/>
    <w:rsid w:val="008C6CAF"/>
    <w:rsid w:val="008C7B40"/>
    <w:rsid w:val="008C7E1D"/>
    <w:rsid w:val="008D0F8F"/>
    <w:rsid w:val="008D257D"/>
    <w:rsid w:val="008D3305"/>
    <w:rsid w:val="008D3A38"/>
    <w:rsid w:val="008D46FC"/>
    <w:rsid w:val="008D6699"/>
    <w:rsid w:val="008E08A6"/>
    <w:rsid w:val="008E0EBB"/>
    <w:rsid w:val="008E1A9F"/>
    <w:rsid w:val="008E2156"/>
    <w:rsid w:val="008E2691"/>
    <w:rsid w:val="008E274D"/>
    <w:rsid w:val="008E3712"/>
    <w:rsid w:val="008E4DCD"/>
    <w:rsid w:val="008E4EDA"/>
    <w:rsid w:val="008E6038"/>
    <w:rsid w:val="008E682E"/>
    <w:rsid w:val="008E6FC3"/>
    <w:rsid w:val="008E7A1D"/>
    <w:rsid w:val="008E7BBD"/>
    <w:rsid w:val="008F00FF"/>
    <w:rsid w:val="008F02FF"/>
    <w:rsid w:val="008F2C22"/>
    <w:rsid w:val="008F2CB4"/>
    <w:rsid w:val="008F3D5D"/>
    <w:rsid w:val="008F53E3"/>
    <w:rsid w:val="00900664"/>
    <w:rsid w:val="00901B07"/>
    <w:rsid w:val="0090224E"/>
    <w:rsid w:val="0090253C"/>
    <w:rsid w:val="009035DF"/>
    <w:rsid w:val="00904330"/>
    <w:rsid w:val="0090486E"/>
    <w:rsid w:val="0090551D"/>
    <w:rsid w:val="00905630"/>
    <w:rsid w:val="00905686"/>
    <w:rsid w:val="009056D0"/>
    <w:rsid w:val="00910BD2"/>
    <w:rsid w:val="00912E69"/>
    <w:rsid w:val="009144B7"/>
    <w:rsid w:val="00914C22"/>
    <w:rsid w:val="00914C4D"/>
    <w:rsid w:val="0091641B"/>
    <w:rsid w:val="00921FEF"/>
    <w:rsid w:val="00923162"/>
    <w:rsid w:val="009231A5"/>
    <w:rsid w:val="009254A8"/>
    <w:rsid w:val="00927024"/>
    <w:rsid w:val="0092761F"/>
    <w:rsid w:val="00930695"/>
    <w:rsid w:val="00932B96"/>
    <w:rsid w:val="00934CAF"/>
    <w:rsid w:val="009401A0"/>
    <w:rsid w:val="00942E4B"/>
    <w:rsid w:val="009440F3"/>
    <w:rsid w:val="0095070E"/>
    <w:rsid w:val="009509F7"/>
    <w:rsid w:val="00950F76"/>
    <w:rsid w:val="00951250"/>
    <w:rsid w:val="00953B44"/>
    <w:rsid w:val="00954362"/>
    <w:rsid w:val="00955F9E"/>
    <w:rsid w:val="00957339"/>
    <w:rsid w:val="00957B56"/>
    <w:rsid w:val="009626A8"/>
    <w:rsid w:val="00964D24"/>
    <w:rsid w:val="00967310"/>
    <w:rsid w:val="00967F11"/>
    <w:rsid w:val="00970744"/>
    <w:rsid w:val="00971ED9"/>
    <w:rsid w:val="0097439C"/>
    <w:rsid w:val="00974CD1"/>
    <w:rsid w:val="00975056"/>
    <w:rsid w:val="0097510D"/>
    <w:rsid w:val="0097563B"/>
    <w:rsid w:val="009758B4"/>
    <w:rsid w:val="00981A08"/>
    <w:rsid w:val="00983489"/>
    <w:rsid w:val="009842A4"/>
    <w:rsid w:val="00985E22"/>
    <w:rsid w:val="00991FD0"/>
    <w:rsid w:val="00992E25"/>
    <w:rsid w:val="00992E30"/>
    <w:rsid w:val="00993924"/>
    <w:rsid w:val="009A0D6A"/>
    <w:rsid w:val="009A299D"/>
    <w:rsid w:val="009A2CE8"/>
    <w:rsid w:val="009A4898"/>
    <w:rsid w:val="009A4E14"/>
    <w:rsid w:val="009A587C"/>
    <w:rsid w:val="009A615C"/>
    <w:rsid w:val="009A6197"/>
    <w:rsid w:val="009A6467"/>
    <w:rsid w:val="009A6D94"/>
    <w:rsid w:val="009B0545"/>
    <w:rsid w:val="009B1ACC"/>
    <w:rsid w:val="009B282F"/>
    <w:rsid w:val="009B2E1D"/>
    <w:rsid w:val="009B66D1"/>
    <w:rsid w:val="009B6A84"/>
    <w:rsid w:val="009C061C"/>
    <w:rsid w:val="009C16A3"/>
    <w:rsid w:val="009C2313"/>
    <w:rsid w:val="009C2F12"/>
    <w:rsid w:val="009C36FA"/>
    <w:rsid w:val="009C3BF7"/>
    <w:rsid w:val="009C3ED4"/>
    <w:rsid w:val="009C440C"/>
    <w:rsid w:val="009C7DB0"/>
    <w:rsid w:val="009D0B37"/>
    <w:rsid w:val="009D0FBD"/>
    <w:rsid w:val="009D225E"/>
    <w:rsid w:val="009D2ECF"/>
    <w:rsid w:val="009D3817"/>
    <w:rsid w:val="009D3CD9"/>
    <w:rsid w:val="009D4CED"/>
    <w:rsid w:val="009D5A0D"/>
    <w:rsid w:val="009D69BA"/>
    <w:rsid w:val="009D6D11"/>
    <w:rsid w:val="009E2F9E"/>
    <w:rsid w:val="009E62B7"/>
    <w:rsid w:val="009E6932"/>
    <w:rsid w:val="009E7F70"/>
    <w:rsid w:val="009F1030"/>
    <w:rsid w:val="009F3EA2"/>
    <w:rsid w:val="009F412A"/>
    <w:rsid w:val="009F5122"/>
    <w:rsid w:val="009F517A"/>
    <w:rsid w:val="009F5B8C"/>
    <w:rsid w:val="009F6587"/>
    <w:rsid w:val="009F6720"/>
    <w:rsid w:val="009F7DFB"/>
    <w:rsid w:val="00A0005C"/>
    <w:rsid w:val="00A00BAC"/>
    <w:rsid w:val="00A014A2"/>
    <w:rsid w:val="00A051DA"/>
    <w:rsid w:val="00A05297"/>
    <w:rsid w:val="00A054B2"/>
    <w:rsid w:val="00A05F8C"/>
    <w:rsid w:val="00A07534"/>
    <w:rsid w:val="00A0760B"/>
    <w:rsid w:val="00A07E07"/>
    <w:rsid w:val="00A10EDC"/>
    <w:rsid w:val="00A11778"/>
    <w:rsid w:val="00A1267A"/>
    <w:rsid w:val="00A1324F"/>
    <w:rsid w:val="00A139BB"/>
    <w:rsid w:val="00A16F13"/>
    <w:rsid w:val="00A24580"/>
    <w:rsid w:val="00A24E62"/>
    <w:rsid w:val="00A25404"/>
    <w:rsid w:val="00A25B75"/>
    <w:rsid w:val="00A26729"/>
    <w:rsid w:val="00A31266"/>
    <w:rsid w:val="00A32399"/>
    <w:rsid w:val="00A3425D"/>
    <w:rsid w:val="00A3468D"/>
    <w:rsid w:val="00A34A4E"/>
    <w:rsid w:val="00A34B32"/>
    <w:rsid w:val="00A35BF1"/>
    <w:rsid w:val="00A35E0F"/>
    <w:rsid w:val="00A3630E"/>
    <w:rsid w:val="00A36D9B"/>
    <w:rsid w:val="00A4032F"/>
    <w:rsid w:val="00A4067A"/>
    <w:rsid w:val="00A406CF"/>
    <w:rsid w:val="00A41A71"/>
    <w:rsid w:val="00A41E7A"/>
    <w:rsid w:val="00A428E8"/>
    <w:rsid w:val="00A42EC8"/>
    <w:rsid w:val="00A45B98"/>
    <w:rsid w:val="00A51454"/>
    <w:rsid w:val="00A52718"/>
    <w:rsid w:val="00A53A7B"/>
    <w:rsid w:val="00A544C2"/>
    <w:rsid w:val="00A55084"/>
    <w:rsid w:val="00A55BA2"/>
    <w:rsid w:val="00A55BF5"/>
    <w:rsid w:val="00A56670"/>
    <w:rsid w:val="00A56D14"/>
    <w:rsid w:val="00A572CF"/>
    <w:rsid w:val="00A5730B"/>
    <w:rsid w:val="00A5731E"/>
    <w:rsid w:val="00A57739"/>
    <w:rsid w:val="00A61EBA"/>
    <w:rsid w:val="00A61F69"/>
    <w:rsid w:val="00A62BA0"/>
    <w:rsid w:val="00A65F91"/>
    <w:rsid w:val="00A66602"/>
    <w:rsid w:val="00A73008"/>
    <w:rsid w:val="00A73239"/>
    <w:rsid w:val="00A75AA0"/>
    <w:rsid w:val="00A7622F"/>
    <w:rsid w:val="00A7648B"/>
    <w:rsid w:val="00A77029"/>
    <w:rsid w:val="00A8119D"/>
    <w:rsid w:val="00A81FCE"/>
    <w:rsid w:val="00A84777"/>
    <w:rsid w:val="00A84883"/>
    <w:rsid w:val="00A84CEB"/>
    <w:rsid w:val="00A85176"/>
    <w:rsid w:val="00A8561A"/>
    <w:rsid w:val="00A860AE"/>
    <w:rsid w:val="00A87C2F"/>
    <w:rsid w:val="00A90461"/>
    <w:rsid w:val="00A90548"/>
    <w:rsid w:val="00A92A2F"/>
    <w:rsid w:val="00A93BDB"/>
    <w:rsid w:val="00A94949"/>
    <w:rsid w:val="00A95092"/>
    <w:rsid w:val="00A954B2"/>
    <w:rsid w:val="00AA0888"/>
    <w:rsid w:val="00AA0D90"/>
    <w:rsid w:val="00AA164D"/>
    <w:rsid w:val="00AA1FBB"/>
    <w:rsid w:val="00AA224B"/>
    <w:rsid w:val="00AA4E33"/>
    <w:rsid w:val="00AA50EF"/>
    <w:rsid w:val="00AA729D"/>
    <w:rsid w:val="00AB0491"/>
    <w:rsid w:val="00AB19B1"/>
    <w:rsid w:val="00AB2212"/>
    <w:rsid w:val="00AB24AA"/>
    <w:rsid w:val="00AB2505"/>
    <w:rsid w:val="00AB4C4E"/>
    <w:rsid w:val="00AB66E6"/>
    <w:rsid w:val="00AB7F99"/>
    <w:rsid w:val="00AC233E"/>
    <w:rsid w:val="00AC267B"/>
    <w:rsid w:val="00AC2FD0"/>
    <w:rsid w:val="00AC61D9"/>
    <w:rsid w:val="00AD3CE5"/>
    <w:rsid w:val="00AD50AA"/>
    <w:rsid w:val="00AD5AAE"/>
    <w:rsid w:val="00AE1CE5"/>
    <w:rsid w:val="00AE5643"/>
    <w:rsid w:val="00AE7047"/>
    <w:rsid w:val="00AF0B30"/>
    <w:rsid w:val="00AF1670"/>
    <w:rsid w:val="00AF2532"/>
    <w:rsid w:val="00AF4686"/>
    <w:rsid w:val="00AF7ECF"/>
    <w:rsid w:val="00B00618"/>
    <w:rsid w:val="00B01010"/>
    <w:rsid w:val="00B0122E"/>
    <w:rsid w:val="00B018B4"/>
    <w:rsid w:val="00B057F0"/>
    <w:rsid w:val="00B0638A"/>
    <w:rsid w:val="00B10378"/>
    <w:rsid w:val="00B10955"/>
    <w:rsid w:val="00B10A0A"/>
    <w:rsid w:val="00B10FA2"/>
    <w:rsid w:val="00B1100F"/>
    <w:rsid w:val="00B1246E"/>
    <w:rsid w:val="00B1343C"/>
    <w:rsid w:val="00B13BA5"/>
    <w:rsid w:val="00B13FEE"/>
    <w:rsid w:val="00B147D9"/>
    <w:rsid w:val="00B14A50"/>
    <w:rsid w:val="00B15572"/>
    <w:rsid w:val="00B15BCD"/>
    <w:rsid w:val="00B15D8D"/>
    <w:rsid w:val="00B167E3"/>
    <w:rsid w:val="00B20650"/>
    <w:rsid w:val="00B20AF9"/>
    <w:rsid w:val="00B21795"/>
    <w:rsid w:val="00B2183C"/>
    <w:rsid w:val="00B21C37"/>
    <w:rsid w:val="00B22F8A"/>
    <w:rsid w:val="00B26A27"/>
    <w:rsid w:val="00B26E4D"/>
    <w:rsid w:val="00B27F08"/>
    <w:rsid w:val="00B301C7"/>
    <w:rsid w:val="00B3059A"/>
    <w:rsid w:val="00B3070B"/>
    <w:rsid w:val="00B311BB"/>
    <w:rsid w:val="00B328E7"/>
    <w:rsid w:val="00B33AAA"/>
    <w:rsid w:val="00B36B01"/>
    <w:rsid w:val="00B37125"/>
    <w:rsid w:val="00B372B3"/>
    <w:rsid w:val="00B40882"/>
    <w:rsid w:val="00B42A2D"/>
    <w:rsid w:val="00B44682"/>
    <w:rsid w:val="00B4470E"/>
    <w:rsid w:val="00B45FA9"/>
    <w:rsid w:val="00B46FBE"/>
    <w:rsid w:val="00B4714B"/>
    <w:rsid w:val="00B472B6"/>
    <w:rsid w:val="00B54211"/>
    <w:rsid w:val="00B5463B"/>
    <w:rsid w:val="00B56411"/>
    <w:rsid w:val="00B60B49"/>
    <w:rsid w:val="00B616C3"/>
    <w:rsid w:val="00B62503"/>
    <w:rsid w:val="00B63710"/>
    <w:rsid w:val="00B63B5A"/>
    <w:rsid w:val="00B70A7E"/>
    <w:rsid w:val="00B711F2"/>
    <w:rsid w:val="00B71963"/>
    <w:rsid w:val="00B71FE8"/>
    <w:rsid w:val="00B72FD1"/>
    <w:rsid w:val="00B7369E"/>
    <w:rsid w:val="00B75402"/>
    <w:rsid w:val="00B7598A"/>
    <w:rsid w:val="00B76B33"/>
    <w:rsid w:val="00B76FAE"/>
    <w:rsid w:val="00B807E9"/>
    <w:rsid w:val="00B8143E"/>
    <w:rsid w:val="00B8190A"/>
    <w:rsid w:val="00B85939"/>
    <w:rsid w:val="00B86697"/>
    <w:rsid w:val="00B86B53"/>
    <w:rsid w:val="00B91196"/>
    <w:rsid w:val="00B93EB6"/>
    <w:rsid w:val="00B94497"/>
    <w:rsid w:val="00B956C0"/>
    <w:rsid w:val="00B976BA"/>
    <w:rsid w:val="00BA0832"/>
    <w:rsid w:val="00BA0F8E"/>
    <w:rsid w:val="00BA175E"/>
    <w:rsid w:val="00BA3B7F"/>
    <w:rsid w:val="00BA4E24"/>
    <w:rsid w:val="00BA6AEF"/>
    <w:rsid w:val="00BA7824"/>
    <w:rsid w:val="00BA7857"/>
    <w:rsid w:val="00BB0285"/>
    <w:rsid w:val="00BB2B4E"/>
    <w:rsid w:val="00BB2BBF"/>
    <w:rsid w:val="00BB31B7"/>
    <w:rsid w:val="00BB483A"/>
    <w:rsid w:val="00BB7AC9"/>
    <w:rsid w:val="00BC0825"/>
    <w:rsid w:val="00BC107D"/>
    <w:rsid w:val="00BC131F"/>
    <w:rsid w:val="00BC1BE6"/>
    <w:rsid w:val="00BC38E6"/>
    <w:rsid w:val="00BC5B53"/>
    <w:rsid w:val="00BC6A9D"/>
    <w:rsid w:val="00BC76FA"/>
    <w:rsid w:val="00BC7C32"/>
    <w:rsid w:val="00BD0F8A"/>
    <w:rsid w:val="00BD3093"/>
    <w:rsid w:val="00BD44C5"/>
    <w:rsid w:val="00BD5471"/>
    <w:rsid w:val="00BD5E71"/>
    <w:rsid w:val="00BD6C82"/>
    <w:rsid w:val="00BD7086"/>
    <w:rsid w:val="00BD719D"/>
    <w:rsid w:val="00BD7662"/>
    <w:rsid w:val="00BE34BE"/>
    <w:rsid w:val="00BE58F0"/>
    <w:rsid w:val="00BE5C78"/>
    <w:rsid w:val="00BE637A"/>
    <w:rsid w:val="00BE688C"/>
    <w:rsid w:val="00BF0878"/>
    <w:rsid w:val="00BF28B0"/>
    <w:rsid w:val="00BF3808"/>
    <w:rsid w:val="00BF4A74"/>
    <w:rsid w:val="00C00EA0"/>
    <w:rsid w:val="00C01C35"/>
    <w:rsid w:val="00C028B4"/>
    <w:rsid w:val="00C05CCD"/>
    <w:rsid w:val="00C06C13"/>
    <w:rsid w:val="00C109B9"/>
    <w:rsid w:val="00C10A8C"/>
    <w:rsid w:val="00C11636"/>
    <w:rsid w:val="00C11ED8"/>
    <w:rsid w:val="00C12537"/>
    <w:rsid w:val="00C12816"/>
    <w:rsid w:val="00C1373B"/>
    <w:rsid w:val="00C140CA"/>
    <w:rsid w:val="00C16764"/>
    <w:rsid w:val="00C16ED8"/>
    <w:rsid w:val="00C17875"/>
    <w:rsid w:val="00C17BA7"/>
    <w:rsid w:val="00C20842"/>
    <w:rsid w:val="00C21372"/>
    <w:rsid w:val="00C21F0D"/>
    <w:rsid w:val="00C2270E"/>
    <w:rsid w:val="00C22A07"/>
    <w:rsid w:val="00C24934"/>
    <w:rsid w:val="00C24A29"/>
    <w:rsid w:val="00C25E96"/>
    <w:rsid w:val="00C30474"/>
    <w:rsid w:val="00C30A4B"/>
    <w:rsid w:val="00C344E7"/>
    <w:rsid w:val="00C36396"/>
    <w:rsid w:val="00C41701"/>
    <w:rsid w:val="00C4190D"/>
    <w:rsid w:val="00C41BE9"/>
    <w:rsid w:val="00C42C6F"/>
    <w:rsid w:val="00C42DEB"/>
    <w:rsid w:val="00C44AC4"/>
    <w:rsid w:val="00C4596C"/>
    <w:rsid w:val="00C46FD8"/>
    <w:rsid w:val="00C47165"/>
    <w:rsid w:val="00C47B83"/>
    <w:rsid w:val="00C51022"/>
    <w:rsid w:val="00C5181A"/>
    <w:rsid w:val="00C53805"/>
    <w:rsid w:val="00C54814"/>
    <w:rsid w:val="00C556DA"/>
    <w:rsid w:val="00C55D63"/>
    <w:rsid w:val="00C56C16"/>
    <w:rsid w:val="00C577F0"/>
    <w:rsid w:val="00C60ED8"/>
    <w:rsid w:val="00C614B7"/>
    <w:rsid w:val="00C61E0A"/>
    <w:rsid w:val="00C6236F"/>
    <w:rsid w:val="00C6598E"/>
    <w:rsid w:val="00C66BEC"/>
    <w:rsid w:val="00C71240"/>
    <w:rsid w:val="00C71813"/>
    <w:rsid w:val="00C71F43"/>
    <w:rsid w:val="00C74609"/>
    <w:rsid w:val="00C770E2"/>
    <w:rsid w:val="00C807B0"/>
    <w:rsid w:val="00C8112F"/>
    <w:rsid w:val="00C813CE"/>
    <w:rsid w:val="00C82796"/>
    <w:rsid w:val="00C842ED"/>
    <w:rsid w:val="00C851A9"/>
    <w:rsid w:val="00C861DA"/>
    <w:rsid w:val="00C87176"/>
    <w:rsid w:val="00C9025E"/>
    <w:rsid w:val="00C91B4A"/>
    <w:rsid w:val="00C92218"/>
    <w:rsid w:val="00C94078"/>
    <w:rsid w:val="00C9470E"/>
    <w:rsid w:val="00C94DFE"/>
    <w:rsid w:val="00C95253"/>
    <w:rsid w:val="00C96922"/>
    <w:rsid w:val="00C96AD1"/>
    <w:rsid w:val="00C9706C"/>
    <w:rsid w:val="00CA13E5"/>
    <w:rsid w:val="00CA29C4"/>
    <w:rsid w:val="00CA4837"/>
    <w:rsid w:val="00CA55D4"/>
    <w:rsid w:val="00CA5666"/>
    <w:rsid w:val="00CA5B48"/>
    <w:rsid w:val="00CB08A7"/>
    <w:rsid w:val="00CB09C0"/>
    <w:rsid w:val="00CB2553"/>
    <w:rsid w:val="00CB2728"/>
    <w:rsid w:val="00CB289D"/>
    <w:rsid w:val="00CB3932"/>
    <w:rsid w:val="00CB5FD9"/>
    <w:rsid w:val="00CB64EF"/>
    <w:rsid w:val="00CB68BE"/>
    <w:rsid w:val="00CC14E9"/>
    <w:rsid w:val="00CC375B"/>
    <w:rsid w:val="00CC424B"/>
    <w:rsid w:val="00CC4702"/>
    <w:rsid w:val="00CC721C"/>
    <w:rsid w:val="00CD03DA"/>
    <w:rsid w:val="00CD0625"/>
    <w:rsid w:val="00CD2B91"/>
    <w:rsid w:val="00CD633D"/>
    <w:rsid w:val="00CD6FF1"/>
    <w:rsid w:val="00CD7038"/>
    <w:rsid w:val="00CD7AB8"/>
    <w:rsid w:val="00CE031A"/>
    <w:rsid w:val="00CE07F2"/>
    <w:rsid w:val="00CE1970"/>
    <w:rsid w:val="00CE3053"/>
    <w:rsid w:val="00CE51A9"/>
    <w:rsid w:val="00CE5D8F"/>
    <w:rsid w:val="00CE7496"/>
    <w:rsid w:val="00CE7F6C"/>
    <w:rsid w:val="00CF4D90"/>
    <w:rsid w:val="00CF57A3"/>
    <w:rsid w:val="00CF6643"/>
    <w:rsid w:val="00CF68E7"/>
    <w:rsid w:val="00CF6EBB"/>
    <w:rsid w:val="00CF724D"/>
    <w:rsid w:val="00CF7D8B"/>
    <w:rsid w:val="00D005A9"/>
    <w:rsid w:val="00D01936"/>
    <w:rsid w:val="00D01FB6"/>
    <w:rsid w:val="00D02A27"/>
    <w:rsid w:val="00D035EE"/>
    <w:rsid w:val="00D03932"/>
    <w:rsid w:val="00D05BD0"/>
    <w:rsid w:val="00D0638E"/>
    <w:rsid w:val="00D07964"/>
    <w:rsid w:val="00D10A9B"/>
    <w:rsid w:val="00D1102B"/>
    <w:rsid w:val="00D129D3"/>
    <w:rsid w:val="00D14F50"/>
    <w:rsid w:val="00D15CD9"/>
    <w:rsid w:val="00D212E5"/>
    <w:rsid w:val="00D21522"/>
    <w:rsid w:val="00D25AEC"/>
    <w:rsid w:val="00D30B81"/>
    <w:rsid w:val="00D3240F"/>
    <w:rsid w:val="00D32F17"/>
    <w:rsid w:val="00D33EC1"/>
    <w:rsid w:val="00D3491F"/>
    <w:rsid w:val="00D34FDF"/>
    <w:rsid w:val="00D3506C"/>
    <w:rsid w:val="00D35098"/>
    <w:rsid w:val="00D35465"/>
    <w:rsid w:val="00D3553A"/>
    <w:rsid w:val="00D35C7B"/>
    <w:rsid w:val="00D35F0C"/>
    <w:rsid w:val="00D36197"/>
    <w:rsid w:val="00D362EE"/>
    <w:rsid w:val="00D363D0"/>
    <w:rsid w:val="00D36E95"/>
    <w:rsid w:val="00D3712C"/>
    <w:rsid w:val="00D46E41"/>
    <w:rsid w:val="00D46E51"/>
    <w:rsid w:val="00D502F9"/>
    <w:rsid w:val="00D50364"/>
    <w:rsid w:val="00D51438"/>
    <w:rsid w:val="00D52773"/>
    <w:rsid w:val="00D52995"/>
    <w:rsid w:val="00D53C15"/>
    <w:rsid w:val="00D53E90"/>
    <w:rsid w:val="00D62378"/>
    <w:rsid w:val="00D63BF7"/>
    <w:rsid w:val="00D640BB"/>
    <w:rsid w:val="00D64A37"/>
    <w:rsid w:val="00D64CBD"/>
    <w:rsid w:val="00D66A22"/>
    <w:rsid w:val="00D70DB6"/>
    <w:rsid w:val="00D74518"/>
    <w:rsid w:val="00D74894"/>
    <w:rsid w:val="00D76639"/>
    <w:rsid w:val="00D80781"/>
    <w:rsid w:val="00D808D2"/>
    <w:rsid w:val="00D80B26"/>
    <w:rsid w:val="00D81206"/>
    <w:rsid w:val="00D83833"/>
    <w:rsid w:val="00D83BEB"/>
    <w:rsid w:val="00D84418"/>
    <w:rsid w:val="00D85382"/>
    <w:rsid w:val="00D85659"/>
    <w:rsid w:val="00D856FE"/>
    <w:rsid w:val="00D85D4B"/>
    <w:rsid w:val="00D8650A"/>
    <w:rsid w:val="00D875FF"/>
    <w:rsid w:val="00D900E5"/>
    <w:rsid w:val="00D90728"/>
    <w:rsid w:val="00D909D6"/>
    <w:rsid w:val="00D911C1"/>
    <w:rsid w:val="00D929F5"/>
    <w:rsid w:val="00D92FF1"/>
    <w:rsid w:val="00D939AC"/>
    <w:rsid w:val="00D95E92"/>
    <w:rsid w:val="00D967FE"/>
    <w:rsid w:val="00DA07D6"/>
    <w:rsid w:val="00DA0CC8"/>
    <w:rsid w:val="00DA160B"/>
    <w:rsid w:val="00DA16AF"/>
    <w:rsid w:val="00DA1DA8"/>
    <w:rsid w:val="00DA3666"/>
    <w:rsid w:val="00DA571B"/>
    <w:rsid w:val="00DA5792"/>
    <w:rsid w:val="00DA699E"/>
    <w:rsid w:val="00DA7397"/>
    <w:rsid w:val="00DB134A"/>
    <w:rsid w:val="00DB13D2"/>
    <w:rsid w:val="00DB175C"/>
    <w:rsid w:val="00DB2FC6"/>
    <w:rsid w:val="00DB40E6"/>
    <w:rsid w:val="00DB5478"/>
    <w:rsid w:val="00DB76FB"/>
    <w:rsid w:val="00DB7A19"/>
    <w:rsid w:val="00DC1638"/>
    <w:rsid w:val="00DC33B7"/>
    <w:rsid w:val="00DC4FA6"/>
    <w:rsid w:val="00DC5435"/>
    <w:rsid w:val="00DC6450"/>
    <w:rsid w:val="00DD33F9"/>
    <w:rsid w:val="00DD46BC"/>
    <w:rsid w:val="00DD5FA4"/>
    <w:rsid w:val="00DD6A09"/>
    <w:rsid w:val="00DD7D0F"/>
    <w:rsid w:val="00DE05C0"/>
    <w:rsid w:val="00DE328C"/>
    <w:rsid w:val="00DE6D50"/>
    <w:rsid w:val="00DF048F"/>
    <w:rsid w:val="00DF3D07"/>
    <w:rsid w:val="00DF3E4B"/>
    <w:rsid w:val="00DF4BA3"/>
    <w:rsid w:val="00DF51FF"/>
    <w:rsid w:val="00DF6162"/>
    <w:rsid w:val="00DF6387"/>
    <w:rsid w:val="00E00767"/>
    <w:rsid w:val="00E01CE9"/>
    <w:rsid w:val="00E03FD2"/>
    <w:rsid w:val="00E06BE3"/>
    <w:rsid w:val="00E07963"/>
    <w:rsid w:val="00E10E86"/>
    <w:rsid w:val="00E115EF"/>
    <w:rsid w:val="00E11D66"/>
    <w:rsid w:val="00E1201F"/>
    <w:rsid w:val="00E122E9"/>
    <w:rsid w:val="00E12307"/>
    <w:rsid w:val="00E12DCB"/>
    <w:rsid w:val="00E1428F"/>
    <w:rsid w:val="00E14C43"/>
    <w:rsid w:val="00E158DD"/>
    <w:rsid w:val="00E2081B"/>
    <w:rsid w:val="00E21662"/>
    <w:rsid w:val="00E24125"/>
    <w:rsid w:val="00E2662C"/>
    <w:rsid w:val="00E26E94"/>
    <w:rsid w:val="00E300CD"/>
    <w:rsid w:val="00E30C5A"/>
    <w:rsid w:val="00E30DDF"/>
    <w:rsid w:val="00E31FE8"/>
    <w:rsid w:val="00E32903"/>
    <w:rsid w:val="00E34DF7"/>
    <w:rsid w:val="00E34FA1"/>
    <w:rsid w:val="00E3769B"/>
    <w:rsid w:val="00E37A66"/>
    <w:rsid w:val="00E407F6"/>
    <w:rsid w:val="00E431CE"/>
    <w:rsid w:val="00E44367"/>
    <w:rsid w:val="00E446FF"/>
    <w:rsid w:val="00E44B3B"/>
    <w:rsid w:val="00E44BB6"/>
    <w:rsid w:val="00E472E2"/>
    <w:rsid w:val="00E5049B"/>
    <w:rsid w:val="00E55FF9"/>
    <w:rsid w:val="00E57D84"/>
    <w:rsid w:val="00E60B92"/>
    <w:rsid w:val="00E611AA"/>
    <w:rsid w:val="00E61543"/>
    <w:rsid w:val="00E61713"/>
    <w:rsid w:val="00E66F57"/>
    <w:rsid w:val="00E6773D"/>
    <w:rsid w:val="00E67D33"/>
    <w:rsid w:val="00E741E6"/>
    <w:rsid w:val="00E75EE6"/>
    <w:rsid w:val="00E76309"/>
    <w:rsid w:val="00E82623"/>
    <w:rsid w:val="00E83131"/>
    <w:rsid w:val="00E835F7"/>
    <w:rsid w:val="00E868DC"/>
    <w:rsid w:val="00E9037F"/>
    <w:rsid w:val="00E909B4"/>
    <w:rsid w:val="00E91E8E"/>
    <w:rsid w:val="00E941E1"/>
    <w:rsid w:val="00E94C84"/>
    <w:rsid w:val="00E95062"/>
    <w:rsid w:val="00EA08AF"/>
    <w:rsid w:val="00EA1CA4"/>
    <w:rsid w:val="00EA2C54"/>
    <w:rsid w:val="00EA3388"/>
    <w:rsid w:val="00EA41FB"/>
    <w:rsid w:val="00EA542C"/>
    <w:rsid w:val="00EA5D4D"/>
    <w:rsid w:val="00EA5FC1"/>
    <w:rsid w:val="00EA62D7"/>
    <w:rsid w:val="00EA6795"/>
    <w:rsid w:val="00EB49E0"/>
    <w:rsid w:val="00EB609A"/>
    <w:rsid w:val="00EB698D"/>
    <w:rsid w:val="00EB7A8B"/>
    <w:rsid w:val="00EC0054"/>
    <w:rsid w:val="00EC099D"/>
    <w:rsid w:val="00EC3C15"/>
    <w:rsid w:val="00EC49B5"/>
    <w:rsid w:val="00EC68F4"/>
    <w:rsid w:val="00ED2232"/>
    <w:rsid w:val="00ED2698"/>
    <w:rsid w:val="00ED2E92"/>
    <w:rsid w:val="00ED5BE8"/>
    <w:rsid w:val="00ED667A"/>
    <w:rsid w:val="00ED67D6"/>
    <w:rsid w:val="00EE0350"/>
    <w:rsid w:val="00EE11B1"/>
    <w:rsid w:val="00EE5FC0"/>
    <w:rsid w:val="00EE6D4B"/>
    <w:rsid w:val="00EE72F4"/>
    <w:rsid w:val="00EF0196"/>
    <w:rsid w:val="00EF17C2"/>
    <w:rsid w:val="00EF3260"/>
    <w:rsid w:val="00EF3655"/>
    <w:rsid w:val="00EF3F29"/>
    <w:rsid w:val="00EF40B6"/>
    <w:rsid w:val="00EF4245"/>
    <w:rsid w:val="00EF602C"/>
    <w:rsid w:val="00EF610A"/>
    <w:rsid w:val="00EF6224"/>
    <w:rsid w:val="00F0063F"/>
    <w:rsid w:val="00F00A81"/>
    <w:rsid w:val="00F02032"/>
    <w:rsid w:val="00F028B5"/>
    <w:rsid w:val="00F02A81"/>
    <w:rsid w:val="00F03DE0"/>
    <w:rsid w:val="00F04793"/>
    <w:rsid w:val="00F04C91"/>
    <w:rsid w:val="00F05000"/>
    <w:rsid w:val="00F05362"/>
    <w:rsid w:val="00F05D91"/>
    <w:rsid w:val="00F070B2"/>
    <w:rsid w:val="00F07227"/>
    <w:rsid w:val="00F108BB"/>
    <w:rsid w:val="00F112C7"/>
    <w:rsid w:val="00F1243D"/>
    <w:rsid w:val="00F12FE4"/>
    <w:rsid w:val="00F152F0"/>
    <w:rsid w:val="00F15D76"/>
    <w:rsid w:val="00F162AB"/>
    <w:rsid w:val="00F165DE"/>
    <w:rsid w:val="00F22443"/>
    <w:rsid w:val="00F237C2"/>
    <w:rsid w:val="00F23FA4"/>
    <w:rsid w:val="00F24A6A"/>
    <w:rsid w:val="00F24C91"/>
    <w:rsid w:val="00F24E26"/>
    <w:rsid w:val="00F251A0"/>
    <w:rsid w:val="00F278E6"/>
    <w:rsid w:val="00F27F43"/>
    <w:rsid w:val="00F30790"/>
    <w:rsid w:val="00F30CBB"/>
    <w:rsid w:val="00F32EAA"/>
    <w:rsid w:val="00F32FA9"/>
    <w:rsid w:val="00F33C24"/>
    <w:rsid w:val="00F33D71"/>
    <w:rsid w:val="00F36B28"/>
    <w:rsid w:val="00F3728F"/>
    <w:rsid w:val="00F37298"/>
    <w:rsid w:val="00F3747E"/>
    <w:rsid w:val="00F41E93"/>
    <w:rsid w:val="00F4504F"/>
    <w:rsid w:val="00F53232"/>
    <w:rsid w:val="00F544A6"/>
    <w:rsid w:val="00F5717D"/>
    <w:rsid w:val="00F57FC2"/>
    <w:rsid w:val="00F61679"/>
    <w:rsid w:val="00F62D36"/>
    <w:rsid w:val="00F6562A"/>
    <w:rsid w:val="00F664C5"/>
    <w:rsid w:val="00F70DAC"/>
    <w:rsid w:val="00F70EE6"/>
    <w:rsid w:val="00F717B5"/>
    <w:rsid w:val="00F72B18"/>
    <w:rsid w:val="00F7452A"/>
    <w:rsid w:val="00F751A8"/>
    <w:rsid w:val="00F77098"/>
    <w:rsid w:val="00F77E59"/>
    <w:rsid w:val="00F800C4"/>
    <w:rsid w:val="00F80B7F"/>
    <w:rsid w:val="00F81865"/>
    <w:rsid w:val="00F81C7D"/>
    <w:rsid w:val="00F83A7D"/>
    <w:rsid w:val="00F84A21"/>
    <w:rsid w:val="00F84FD6"/>
    <w:rsid w:val="00F85054"/>
    <w:rsid w:val="00F87EC7"/>
    <w:rsid w:val="00F900E8"/>
    <w:rsid w:val="00F9022E"/>
    <w:rsid w:val="00F910B9"/>
    <w:rsid w:val="00F915C9"/>
    <w:rsid w:val="00F92A9A"/>
    <w:rsid w:val="00F94329"/>
    <w:rsid w:val="00F94680"/>
    <w:rsid w:val="00F95BA2"/>
    <w:rsid w:val="00FA03F3"/>
    <w:rsid w:val="00FA054C"/>
    <w:rsid w:val="00FA16E3"/>
    <w:rsid w:val="00FA19C1"/>
    <w:rsid w:val="00FA1F5C"/>
    <w:rsid w:val="00FA2BC3"/>
    <w:rsid w:val="00FA38CB"/>
    <w:rsid w:val="00FA41F6"/>
    <w:rsid w:val="00FA6972"/>
    <w:rsid w:val="00FA777B"/>
    <w:rsid w:val="00FB3A6B"/>
    <w:rsid w:val="00FB4237"/>
    <w:rsid w:val="00FB6BAA"/>
    <w:rsid w:val="00FB7007"/>
    <w:rsid w:val="00FB7BD6"/>
    <w:rsid w:val="00FC0446"/>
    <w:rsid w:val="00FC2308"/>
    <w:rsid w:val="00FC3E26"/>
    <w:rsid w:val="00FC4D96"/>
    <w:rsid w:val="00FC6F55"/>
    <w:rsid w:val="00FD043E"/>
    <w:rsid w:val="00FD1BD4"/>
    <w:rsid w:val="00FD28E8"/>
    <w:rsid w:val="00FD3D93"/>
    <w:rsid w:val="00FD4AEA"/>
    <w:rsid w:val="00FD64D2"/>
    <w:rsid w:val="00FD6551"/>
    <w:rsid w:val="00FE0D34"/>
    <w:rsid w:val="00FE2B7D"/>
    <w:rsid w:val="00FE41D6"/>
    <w:rsid w:val="00FE5BF0"/>
    <w:rsid w:val="00FF089B"/>
    <w:rsid w:val="00FF0CE9"/>
    <w:rsid w:val="00FF1D25"/>
    <w:rsid w:val="00FF4F3E"/>
    <w:rsid w:val="00FF50D7"/>
    <w:rsid w:val="00FF78A5"/>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AFA65"/>
  <w15:docId w15:val="{0D3CFF03-19C7-44F3-B0AF-A21B3580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F0"/>
    <w:rPr>
      <w:sz w:val="22"/>
      <w:szCs w:val="22"/>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1FCE"/>
    <w:rPr>
      <w:rFonts w:cs="Times New Roman"/>
      <w:kern w:val="28"/>
      <w:sz w:val="22"/>
      <w:szCs w:val="22"/>
      <w:lang w:val="en-AU" w:eastAsia="en-US"/>
    </w:rPr>
  </w:style>
  <w:style w:type="character" w:customStyle="1" w:styleId="Heading2Char">
    <w:name w:val="Heading 2 Char"/>
    <w:link w:val="Heading2"/>
    <w:uiPriority w:val="99"/>
    <w:semiHidden/>
    <w:locked/>
    <w:rsid w:val="00A81FCE"/>
    <w:rPr>
      <w:rFonts w:cs="Times New Roman"/>
      <w:sz w:val="22"/>
      <w:szCs w:val="22"/>
      <w:lang w:val="en-AU" w:eastAsia="en-US" w:bidi="ar-SA"/>
    </w:rPr>
  </w:style>
  <w:style w:type="character" w:customStyle="1" w:styleId="Heading3Char">
    <w:name w:val="Heading 3 Char"/>
    <w:link w:val="Heading3"/>
    <w:uiPriority w:val="99"/>
    <w:semiHidden/>
    <w:locked/>
    <w:rsid w:val="00A81FCE"/>
    <w:rPr>
      <w:rFonts w:cs="Times New Roman"/>
      <w:sz w:val="22"/>
      <w:szCs w:val="22"/>
      <w:lang w:val="en-AU" w:eastAsia="en-US" w:bidi="ar-SA"/>
    </w:rPr>
  </w:style>
  <w:style w:type="character" w:customStyle="1" w:styleId="Heading4Char">
    <w:name w:val="Heading 4 Char"/>
    <w:link w:val="Heading4"/>
    <w:uiPriority w:val="99"/>
    <w:semiHidden/>
    <w:locked/>
    <w:rsid w:val="00A81FCE"/>
    <w:rPr>
      <w:rFonts w:cs="Times New Roman"/>
      <w:b/>
      <w:bCs/>
      <w:i/>
      <w:iCs/>
      <w:sz w:val="24"/>
      <w:szCs w:val="24"/>
      <w:lang w:val="en-AU" w:eastAsia="en-US" w:bidi="ar-SA"/>
    </w:rPr>
  </w:style>
  <w:style w:type="character" w:customStyle="1" w:styleId="Heading5Char">
    <w:name w:val="Heading 5 Char"/>
    <w:link w:val="Heading5"/>
    <w:uiPriority w:val="99"/>
    <w:semiHidden/>
    <w:locked/>
    <w:rsid w:val="00A81FCE"/>
    <w:rPr>
      <w:rFonts w:ascii="Arial" w:hAnsi="Arial" w:cs="Arial"/>
      <w:sz w:val="22"/>
      <w:szCs w:val="22"/>
      <w:lang w:val="en-AU" w:eastAsia="en-US" w:bidi="ar-SA"/>
    </w:rPr>
  </w:style>
  <w:style w:type="character" w:customStyle="1" w:styleId="Heading6Char">
    <w:name w:val="Heading 6 Char"/>
    <w:link w:val="Heading6"/>
    <w:uiPriority w:val="99"/>
    <w:semiHidden/>
    <w:locked/>
    <w:rsid w:val="00A81FCE"/>
    <w:rPr>
      <w:rFonts w:ascii="Arial" w:hAnsi="Arial" w:cs="Arial"/>
      <w:i/>
      <w:iCs/>
      <w:sz w:val="22"/>
      <w:szCs w:val="22"/>
      <w:lang w:val="en-AU" w:eastAsia="en-US" w:bidi="ar-SA"/>
    </w:rPr>
  </w:style>
  <w:style w:type="character" w:customStyle="1" w:styleId="Heading7Char">
    <w:name w:val="Heading 7 Char"/>
    <w:link w:val="Heading7"/>
    <w:uiPriority w:val="99"/>
    <w:semiHidden/>
    <w:locked/>
    <w:rsid w:val="00A81FCE"/>
    <w:rPr>
      <w:rFonts w:ascii="Arial" w:hAnsi="Arial" w:cs="Arial"/>
      <w:sz w:val="22"/>
      <w:szCs w:val="22"/>
      <w:lang w:val="en-AU" w:eastAsia="en-US" w:bidi="ar-SA"/>
    </w:rPr>
  </w:style>
  <w:style w:type="character" w:customStyle="1" w:styleId="Heading8Char">
    <w:name w:val="Heading 8 Char"/>
    <w:link w:val="Heading8"/>
    <w:uiPriority w:val="99"/>
    <w:semiHidden/>
    <w:locked/>
    <w:rsid w:val="00A81FCE"/>
    <w:rPr>
      <w:rFonts w:ascii="Arial" w:hAnsi="Arial" w:cs="Arial"/>
      <w:i/>
      <w:iCs/>
      <w:sz w:val="22"/>
      <w:szCs w:val="22"/>
      <w:lang w:val="en-AU" w:eastAsia="en-US" w:bidi="ar-SA"/>
    </w:rPr>
  </w:style>
  <w:style w:type="character" w:customStyle="1" w:styleId="Heading9Char">
    <w:name w:val="Heading 9 Char"/>
    <w:link w:val="Heading9"/>
    <w:uiPriority w:val="99"/>
    <w:semiHidden/>
    <w:locked/>
    <w:rsid w:val="00A81FCE"/>
    <w:rPr>
      <w:rFonts w:ascii="Arial" w:hAnsi="Arial" w:cs="Arial"/>
      <w:i/>
      <w:iCs/>
      <w:sz w:val="18"/>
      <w:szCs w:val="18"/>
      <w:lang w:val="en-AU" w:eastAsia="en-US" w:bidi="ar-SA"/>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link w:val="Header"/>
    <w:uiPriority w:val="99"/>
    <w:locked/>
    <w:rsid w:val="00A81FCE"/>
    <w:rPr>
      <w:rFonts w:cs="Times New Roman"/>
      <w:sz w:val="20"/>
      <w:szCs w:val="20"/>
      <w:lang w:val="en-AU" w:eastAsia="en-US"/>
    </w:rPr>
  </w:style>
  <w:style w:type="paragraph" w:customStyle="1" w:styleId="RomanNumerials">
    <w:name w:val="RomanNumerials"/>
    <w:basedOn w:val="Normal"/>
    <w:uiPriority w:val="99"/>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link w:val="Footer"/>
    <w:uiPriority w:val="99"/>
    <w:locked/>
    <w:rsid w:val="00A81FCE"/>
    <w:rPr>
      <w:rFonts w:cs="Times New Roman"/>
      <w:sz w:val="20"/>
      <w:szCs w:val="20"/>
      <w:lang w:val="en-AU" w:eastAsia="en-US"/>
    </w:rPr>
  </w:style>
  <w:style w:type="paragraph" w:styleId="BodyText3">
    <w:name w:val="Body Text 3"/>
    <w:basedOn w:val="Normal"/>
    <w:link w:val="BodyText3Char"/>
    <w:uiPriority w:val="99"/>
    <w:rsid w:val="00E06BE3"/>
    <w:rPr>
      <w:sz w:val="16"/>
      <w:szCs w:val="16"/>
    </w:rPr>
  </w:style>
  <w:style w:type="character" w:customStyle="1" w:styleId="BodyText3Char">
    <w:name w:val="Body Text 3 Char"/>
    <w:link w:val="BodyText3"/>
    <w:uiPriority w:val="99"/>
    <w:semiHidden/>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uiPriority w:val="99"/>
    <w:qFormat/>
    <w:rsid w:val="00E06BE3"/>
    <w:pPr>
      <w:jc w:val="center"/>
    </w:pPr>
    <w:rPr>
      <w:rFonts w:ascii="Cambria" w:hAnsi="Cambria" w:cs="Cambria"/>
      <w:sz w:val="24"/>
      <w:szCs w:val="24"/>
    </w:rPr>
  </w:style>
  <w:style w:type="character" w:customStyle="1" w:styleId="SubtitleChar">
    <w:name w:val="Subtitle Char"/>
    <w:link w:val="Subtitle"/>
    <w:uiPriority w:val="99"/>
    <w:locked/>
    <w:rsid w:val="00A81FCE"/>
    <w:rPr>
      <w:rFonts w:ascii="Cambria" w:hAnsi="Cambria" w:cs="Cambria"/>
      <w:sz w:val="24"/>
      <w:szCs w:val="24"/>
      <w:lang w:val="en-AU" w:eastAsia="en-US"/>
    </w:rPr>
  </w:style>
  <w:style w:type="character" w:styleId="PageNumber">
    <w:name w:val="page number"/>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link w:val="DocumentMap"/>
    <w:uiPriority w:val="99"/>
    <w:semiHidden/>
    <w:locked/>
    <w:rsid w:val="00A81FCE"/>
    <w:rPr>
      <w:rFonts w:cs="Times New Roman"/>
      <w:sz w:val="2"/>
      <w:szCs w:val="2"/>
      <w:lang w:val="en-AU" w:eastAsia="en-US"/>
    </w:rPr>
  </w:style>
  <w:style w:type="paragraph" w:styleId="BalloonText">
    <w:name w:val="Balloon Text"/>
    <w:basedOn w:val="Normal"/>
    <w:link w:val="BalloonTextChar"/>
    <w:uiPriority w:val="99"/>
    <w:semiHidden/>
    <w:rsid w:val="00C577F0"/>
    <w:rPr>
      <w:sz w:val="20"/>
      <w:szCs w:val="2"/>
    </w:rPr>
  </w:style>
  <w:style w:type="character" w:customStyle="1" w:styleId="BalloonTextChar">
    <w:name w:val="Balloon Text Char"/>
    <w:link w:val="BalloonText"/>
    <w:uiPriority w:val="99"/>
    <w:semiHidden/>
    <w:locked/>
    <w:rsid w:val="00C577F0"/>
    <w:rPr>
      <w:szCs w:val="2"/>
      <w:lang w:val="en-AU" w:eastAsia="en-US"/>
    </w:rPr>
  </w:style>
  <w:style w:type="table" w:styleId="TableGrid">
    <w:name w:val="Table Grid"/>
    <w:basedOn w:val="TableNormal"/>
    <w:uiPriority w:val="99"/>
    <w:rsid w:val="000B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link w:val="BodyText2"/>
    <w:uiPriority w:val="99"/>
    <w:semiHidden/>
    <w:locked/>
    <w:rsid w:val="00A81FCE"/>
    <w:rPr>
      <w:rFonts w:cs="Times New Roman"/>
      <w:sz w:val="20"/>
      <w:szCs w:val="20"/>
      <w:lang w:val="en-AU" w:eastAsia="en-US"/>
    </w:rPr>
  </w:style>
  <w:style w:type="character" w:styleId="Hyperlink">
    <w:name w:val="Hyperlink"/>
    <w:uiPriority w:val="99"/>
    <w:rsid w:val="00C21372"/>
    <w:rPr>
      <w:rFonts w:cs="Times New Roman"/>
      <w:color w:val="0000FF"/>
      <w:u w:val="single"/>
    </w:rPr>
  </w:style>
  <w:style w:type="character" w:styleId="CommentReference">
    <w:name w:val="annotation reference"/>
    <w:uiPriority w:val="99"/>
    <w:semiHidden/>
    <w:rsid w:val="005717A8"/>
    <w:rPr>
      <w:rFonts w:cs="Times New Roman"/>
      <w:sz w:val="16"/>
      <w:szCs w:val="16"/>
    </w:rPr>
  </w:style>
  <w:style w:type="paragraph" w:styleId="CommentText">
    <w:name w:val="annotation text"/>
    <w:basedOn w:val="Normal"/>
    <w:link w:val="CommentTextChar"/>
    <w:uiPriority w:val="99"/>
    <w:semiHidden/>
    <w:rsid w:val="005717A8"/>
    <w:rPr>
      <w:sz w:val="20"/>
      <w:szCs w:val="20"/>
      <w:lang w:eastAsia="ja-JP"/>
    </w:rPr>
  </w:style>
  <w:style w:type="character" w:customStyle="1" w:styleId="CommentTextChar">
    <w:name w:val="Comment Text Char"/>
    <w:link w:val="CommentText"/>
    <w:uiPriority w:val="99"/>
    <w:locked/>
    <w:rsid w:val="005717A8"/>
    <w:rPr>
      <w:rFonts w:cs="Times New Roman"/>
      <w:lang w:val="en-AU"/>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link w:val="CommentSubject"/>
    <w:uiPriority w:val="99"/>
    <w:locked/>
    <w:rsid w:val="005717A8"/>
    <w:rPr>
      <w:rFonts w:cs="Times New Roman"/>
      <w:b/>
      <w:bCs/>
      <w:lang w:val="en-AU"/>
    </w:rPr>
  </w:style>
  <w:style w:type="paragraph" w:styleId="NormalWeb">
    <w:name w:val="Normal (Web)"/>
    <w:basedOn w:val="Normal"/>
    <w:uiPriority w:val="99"/>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uiPriority w:val="99"/>
    <w:qFormat/>
    <w:rsid w:val="001B6435"/>
    <w:rPr>
      <w:rFonts w:cs="Times New Roman"/>
      <w:i/>
      <w:iCs/>
    </w:rPr>
  </w:style>
  <w:style w:type="character" w:styleId="FollowedHyperlink">
    <w:name w:val="FollowedHyperlink"/>
    <w:uiPriority w:val="99"/>
    <w:rsid w:val="00A11778"/>
    <w:rPr>
      <w:rFonts w:cs="Times New Roman"/>
      <w:color w:val="000080"/>
      <w:u w:val="single"/>
    </w:rPr>
  </w:style>
  <w:style w:type="paragraph" w:customStyle="1" w:styleId="Default">
    <w:name w:val="Default"/>
    <w:uiPriority w:val="99"/>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sz w:val="22"/>
      <w:szCs w:val="22"/>
      <w:lang w:eastAsia="en-US"/>
    </w:rPr>
  </w:style>
  <w:style w:type="character" w:customStyle="1" w:styleId="Mention1">
    <w:name w:val="Mention1"/>
    <w:basedOn w:val="DefaultParagraphFont"/>
    <w:uiPriority w:val="99"/>
    <w:semiHidden/>
    <w:unhideWhenUsed/>
    <w:rsid w:val="000D2211"/>
    <w:rPr>
      <w:color w:val="2B579A"/>
      <w:shd w:val="clear" w:color="auto" w:fill="E6E6E6"/>
    </w:rPr>
  </w:style>
  <w:style w:type="character" w:customStyle="1" w:styleId="UnresolvedMention1">
    <w:name w:val="Unresolved Mention1"/>
    <w:basedOn w:val="DefaultParagraphFont"/>
    <w:uiPriority w:val="99"/>
    <w:semiHidden/>
    <w:unhideWhenUsed/>
    <w:rsid w:val="00594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9768">
      <w:bodyDiv w:val="1"/>
      <w:marLeft w:val="0"/>
      <w:marRight w:val="0"/>
      <w:marTop w:val="0"/>
      <w:marBottom w:val="0"/>
      <w:divBdr>
        <w:top w:val="none" w:sz="0" w:space="0" w:color="auto"/>
        <w:left w:val="none" w:sz="0" w:space="0" w:color="auto"/>
        <w:bottom w:val="none" w:sz="0" w:space="0" w:color="auto"/>
        <w:right w:val="none" w:sz="0" w:space="0" w:color="auto"/>
      </w:divBdr>
    </w:div>
    <w:div w:id="503399934">
      <w:bodyDiv w:val="1"/>
      <w:marLeft w:val="0"/>
      <w:marRight w:val="0"/>
      <w:marTop w:val="0"/>
      <w:marBottom w:val="0"/>
      <w:divBdr>
        <w:top w:val="none" w:sz="0" w:space="0" w:color="auto"/>
        <w:left w:val="none" w:sz="0" w:space="0" w:color="auto"/>
        <w:bottom w:val="none" w:sz="0" w:space="0" w:color="auto"/>
        <w:right w:val="none" w:sz="0" w:space="0" w:color="auto"/>
      </w:divBdr>
    </w:div>
    <w:div w:id="1136684861">
      <w:bodyDiv w:val="1"/>
      <w:marLeft w:val="0"/>
      <w:marRight w:val="0"/>
      <w:marTop w:val="0"/>
      <w:marBottom w:val="0"/>
      <w:divBdr>
        <w:top w:val="none" w:sz="0" w:space="0" w:color="auto"/>
        <w:left w:val="none" w:sz="0" w:space="0" w:color="auto"/>
        <w:bottom w:val="none" w:sz="0" w:space="0" w:color="auto"/>
        <w:right w:val="none" w:sz="0" w:space="0" w:color="auto"/>
      </w:divBdr>
    </w:div>
    <w:div w:id="1171947244">
      <w:bodyDiv w:val="1"/>
      <w:marLeft w:val="0"/>
      <w:marRight w:val="0"/>
      <w:marTop w:val="0"/>
      <w:marBottom w:val="0"/>
      <w:divBdr>
        <w:top w:val="none" w:sz="0" w:space="0" w:color="auto"/>
        <w:left w:val="none" w:sz="0" w:space="0" w:color="auto"/>
        <w:bottom w:val="none" w:sz="0" w:space="0" w:color="auto"/>
        <w:right w:val="none" w:sz="0" w:space="0" w:color="auto"/>
      </w:divBdr>
    </w:div>
    <w:div w:id="1611470704">
      <w:bodyDiv w:val="1"/>
      <w:marLeft w:val="0"/>
      <w:marRight w:val="0"/>
      <w:marTop w:val="0"/>
      <w:marBottom w:val="0"/>
      <w:divBdr>
        <w:top w:val="none" w:sz="0" w:space="0" w:color="auto"/>
        <w:left w:val="none" w:sz="0" w:space="0" w:color="auto"/>
        <w:bottom w:val="none" w:sz="0" w:space="0" w:color="auto"/>
        <w:right w:val="none" w:sz="0" w:space="0" w:color="auto"/>
      </w:divBdr>
      <w:divsChild>
        <w:div w:id="1750809273">
          <w:marLeft w:val="0"/>
          <w:marRight w:val="0"/>
          <w:marTop w:val="0"/>
          <w:marBottom w:val="0"/>
          <w:divBdr>
            <w:top w:val="none" w:sz="0" w:space="0" w:color="auto"/>
            <w:left w:val="none" w:sz="0" w:space="0" w:color="auto"/>
            <w:bottom w:val="none" w:sz="0" w:space="0" w:color="auto"/>
            <w:right w:val="none" w:sz="0" w:space="0" w:color="auto"/>
          </w:divBdr>
          <w:divsChild>
            <w:div w:id="2130973303">
              <w:marLeft w:val="-225"/>
              <w:marRight w:val="-225"/>
              <w:marTop w:val="0"/>
              <w:marBottom w:val="0"/>
              <w:divBdr>
                <w:top w:val="none" w:sz="0" w:space="0" w:color="auto"/>
                <w:left w:val="none" w:sz="0" w:space="0" w:color="auto"/>
                <w:bottom w:val="none" w:sz="0" w:space="0" w:color="auto"/>
                <w:right w:val="none" w:sz="0" w:space="0" w:color="auto"/>
              </w:divBdr>
              <w:divsChild>
                <w:div w:id="1318654680">
                  <w:marLeft w:val="0"/>
                  <w:marRight w:val="0"/>
                  <w:marTop w:val="0"/>
                  <w:marBottom w:val="0"/>
                  <w:divBdr>
                    <w:top w:val="none" w:sz="0" w:space="0" w:color="auto"/>
                    <w:left w:val="none" w:sz="0" w:space="0" w:color="auto"/>
                    <w:bottom w:val="none" w:sz="0" w:space="0" w:color="auto"/>
                    <w:right w:val="none" w:sz="0" w:space="0" w:color="auto"/>
                  </w:divBdr>
                  <w:divsChild>
                    <w:div w:id="435448414">
                      <w:marLeft w:val="0"/>
                      <w:marRight w:val="0"/>
                      <w:marTop w:val="0"/>
                      <w:marBottom w:val="0"/>
                      <w:divBdr>
                        <w:top w:val="none" w:sz="0" w:space="0" w:color="auto"/>
                        <w:left w:val="none" w:sz="0" w:space="0" w:color="auto"/>
                        <w:bottom w:val="none" w:sz="0" w:space="0" w:color="auto"/>
                        <w:right w:val="none" w:sz="0" w:space="0" w:color="auto"/>
                      </w:divBdr>
                      <w:divsChild>
                        <w:div w:id="1399137216">
                          <w:marLeft w:val="0"/>
                          <w:marRight w:val="0"/>
                          <w:marTop w:val="0"/>
                          <w:marBottom w:val="0"/>
                          <w:divBdr>
                            <w:top w:val="none" w:sz="0" w:space="0" w:color="auto"/>
                            <w:left w:val="none" w:sz="0" w:space="0" w:color="auto"/>
                            <w:bottom w:val="none" w:sz="0" w:space="0" w:color="auto"/>
                            <w:right w:val="none" w:sz="0" w:space="0" w:color="auto"/>
                          </w:divBdr>
                          <w:divsChild>
                            <w:div w:id="1977372970">
                              <w:marLeft w:val="0"/>
                              <w:marRight w:val="0"/>
                              <w:marTop w:val="0"/>
                              <w:marBottom w:val="0"/>
                              <w:divBdr>
                                <w:top w:val="none" w:sz="0" w:space="0" w:color="auto"/>
                                <w:left w:val="none" w:sz="0" w:space="0" w:color="auto"/>
                                <w:bottom w:val="none" w:sz="0" w:space="0" w:color="auto"/>
                                <w:right w:val="none" w:sz="0" w:space="0" w:color="auto"/>
                              </w:divBdr>
                              <w:divsChild>
                                <w:div w:id="1325160687">
                                  <w:marLeft w:val="0"/>
                                  <w:marRight w:val="0"/>
                                  <w:marTop w:val="0"/>
                                  <w:marBottom w:val="0"/>
                                  <w:divBdr>
                                    <w:top w:val="none" w:sz="0" w:space="0" w:color="auto"/>
                                    <w:left w:val="none" w:sz="0" w:space="0" w:color="auto"/>
                                    <w:bottom w:val="none" w:sz="0" w:space="0" w:color="auto"/>
                                    <w:right w:val="none" w:sz="0" w:space="0" w:color="auto"/>
                                  </w:divBdr>
                                  <w:divsChild>
                                    <w:div w:id="12897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89103">
      <w:marLeft w:val="0"/>
      <w:marRight w:val="0"/>
      <w:marTop w:val="0"/>
      <w:marBottom w:val="0"/>
      <w:divBdr>
        <w:top w:val="none" w:sz="0" w:space="0" w:color="auto"/>
        <w:left w:val="none" w:sz="0" w:space="0" w:color="auto"/>
        <w:bottom w:val="none" w:sz="0" w:space="0" w:color="auto"/>
        <w:right w:val="none" w:sz="0" w:space="0" w:color="auto"/>
      </w:divBdr>
    </w:div>
    <w:div w:id="1739089104">
      <w:marLeft w:val="0"/>
      <w:marRight w:val="0"/>
      <w:marTop w:val="0"/>
      <w:marBottom w:val="0"/>
      <w:divBdr>
        <w:top w:val="none" w:sz="0" w:space="0" w:color="auto"/>
        <w:left w:val="none" w:sz="0" w:space="0" w:color="auto"/>
        <w:bottom w:val="none" w:sz="0" w:space="0" w:color="auto"/>
        <w:right w:val="none" w:sz="0" w:space="0" w:color="auto"/>
      </w:divBdr>
      <w:divsChild>
        <w:div w:id="1739089105">
          <w:marLeft w:val="0"/>
          <w:marRight w:val="0"/>
          <w:marTop w:val="0"/>
          <w:marBottom w:val="0"/>
          <w:divBdr>
            <w:top w:val="none" w:sz="0" w:space="0" w:color="auto"/>
            <w:left w:val="none" w:sz="0" w:space="0" w:color="auto"/>
            <w:bottom w:val="none" w:sz="0" w:space="0" w:color="auto"/>
            <w:right w:val="none" w:sz="0" w:space="0" w:color="auto"/>
          </w:divBdr>
        </w:div>
      </w:divsChild>
    </w:div>
    <w:div w:id="1739089107">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sChild>
        <w:div w:id="1739089106">
          <w:marLeft w:val="0"/>
          <w:marRight w:val="0"/>
          <w:marTop w:val="0"/>
          <w:marBottom w:val="0"/>
          <w:divBdr>
            <w:top w:val="none" w:sz="0" w:space="0" w:color="auto"/>
            <w:left w:val="none" w:sz="0" w:space="0" w:color="auto"/>
            <w:bottom w:val="none" w:sz="0" w:space="0" w:color="auto"/>
            <w:right w:val="none" w:sz="0" w:space="0" w:color="auto"/>
          </w:divBdr>
        </w:div>
        <w:div w:id="1739089110">
          <w:marLeft w:val="0"/>
          <w:marRight w:val="0"/>
          <w:marTop w:val="0"/>
          <w:marBottom w:val="0"/>
          <w:divBdr>
            <w:top w:val="none" w:sz="0" w:space="0" w:color="auto"/>
            <w:left w:val="none" w:sz="0" w:space="0" w:color="auto"/>
            <w:bottom w:val="none" w:sz="0" w:space="0" w:color="auto"/>
            <w:right w:val="none" w:sz="0" w:space="0" w:color="auto"/>
          </w:divBdr>
        </w:div>
      </w:divsChild>
    </w:div>
    <w:div w:id="1739089109">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 w:id="1801872287">
      <w:bodyDiv w:val="1"/>
      <w:marLeft w:val="0"/>
      <w:marRight w:val="0"/>
      <w:marTop w:val="0"/>
      <w:marBottom w:val="0"/>
      <w:divBdr>
        <w:top w:val="none" w:sz="0" w:space="0" w:color="auto"/>
        <w:left w:val="none" w:sz="0" w:space="0" w:color="auto"/>
        <w:bottom w:val="none" w:sz="0" w:space="0" w:color="auto"/>
        <w:right w:val="none" w:sz="0" w:space="0" w:color="auto"/>
      </w:divBdr>
      <w:divsChild>
        <w:div w:id="1693267341">
          <w:marLeft w:val="0"/>
          <w:marRight w:val="0"/>
          <w:marTop w:val="0"/>
          <w:marBottom w:val="0"/>
          <w:divBdr>
            <w:top w:val="none" w:sz="0" w:space="0" w:color="auto"/>
            <w:left w:val="none" w:sz="0" w:space="0" w:color="auto"/>
            <w:bottom w:val="none" w:sz="0" w:space="0" w:color="auto"/>
            <w:right w:val="none" w:sz="0" w:space="0" w:color="auto"/>
          </w:divBdr>
          <w:divsChild>
            <w:div w:id="1948848462">
              <w:marLeft w:val="-225"/>
              <w:marRight w:val="-225"/>
              <w:marTop w:val="0"/>
              <w:marBottom w:val="0"/>
              <w:divBdr>
                <w:top w:val="none" w:sz="0" w:space="0" w:color="auto"/>
                <w:left w:val="none" w:sz="0" w:space="0" w:color="auto"/>
                <w:bottom w:val="none" w:sz="0" w:space="0" w:color="auto"/>
                <w:right w:val="none" w:sz="0" w:space="0" w:color="auto"/>
              </w:divBdr>
              <w:divsChild>
                <w:div w:id="213548851">
                  <w:marLeft w:val="0"/>
                  <w:marRight w:val="0"/>
                  <w:marTop w:val="0"/>
                  <w:marBottom w:val="0"/>
                  <w:divBdr>
                    <w:top w:val="none" w:sz="0" w:space="0" w:color="auto"/>
                    <w:left w:val="none" w:sz="0" w:space="0" w:color="auto"/>
                    <w:bottom w:val="none" w:sz="0" w:space="0" w:color="auto"/>
                    <w:right w:val="none" w:sz="0" w:space="0" w:color="auto"/>
                  </w:divBdr>
                  <w:divsChild>
                    <w:div w:id="1128164336">
                      <w:marLeft w:val="0"/>
                      <w:marRight w:val="0"/>
                      <w:marTop w:val="0"/>
                      <w:marBottom w:val="0"/>
                      <w:divBdr>
                        <w:top w:val="none" w:sz="0" w:space="0" w:color="auto"/>
                        <w:left w:val="none" w:sz="0" w:space="0" w:color="auto"/>
                        <w:bottom w:val="none" w:sz="0" w:space="0" w:color="auto"/>
                        <w:right w:val="none" w:sz="0" w:space="0" w:color="auto"/>
                      </w:divBdr>
                      <w:divsChild>
                        <w:div w:id="1673868707">
                          <w:marLeft w:val="0"/>
                          <w:marRight w:val="0"/>
                          <w:marTop w:val="0"/>
                          <w:marBottom w:val="0"/>
                          <w:divBdr>
                            <w:top w:val="none" w:sz="0" w:space="0" w:color="auto"/>
                            <w:left w:val="none" w:sz="0" w:space="0" w:color="auto"/>
                            <w:bottom w:val="none" w:sz="0" w:space="0" w:color="auto"/>
                            <w:right w:val="none" w:sz="0" w:space="0" w:color="auto"/>
                          </w:divBdr>
                          <w:divsChild>
                            <w:div w:id="1829705352">
                              <w:marLeft w:val="0"/>
                              <w:marRight w:val="0"/>
                              <w:marTop w:val="0"/>
                              <w:marBottom w:val="0"/>
                              <w:divBdr>
                                <w:top w:val="none" w:sz="0" w:space="0" w:color="auto"/>
                                <w:left w:val="none" w:sz="0" w:space="0" w:color="auto"/>
                                <w:bottom w:val="none" w:sz="0" w:space="0" w:color="auto"/>
                                <w:right w:val="none" w:sz="0" w:space="0" w:color="auto"/>
                              </w:divBdr>
                              <w:divsChild>
                                <w:div w:id="1522545437">
                                  <w:marLeft w:val="0"/>
                                  <w:marRight w:val="0"/>
                                  <w:marTop w:val="0"/>
                                  <w:marBottom w:val="0"/>
                                  <w:divBdr>
                                    <w:top w:val="none" w:sz="0" w:space="0" w:color="auto"/>
                                    <w:left w:val="none" w:sz="0" w:space="0" w:color="auto"/>
                                    <w:bottom w:val="none" w:sz="0" w:space="0" w:color="auto"/>
                                    <w:right w:val="none" w:sz="0" w:space="0" w:color="auto"/>
                                  </w:divBdr>
                                  <w:divsChild>
                                    <w:div w:id="812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4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ellowcard.gov.uk" TargetMode="External"/><Relationship Id="rId18" Type="http://schemas.openxmlformats.org/officeDocument/2006/relationships/hyperlink" Target="http://www.medicines.org.uk" TargetMode="External"/><Relationship Id="rId26" Type="http://schemas.openxmlformats.org/officeDocument/2006/relationships/hyperlink" Target="https://www.nice.org.uk/advice/esnm39/resources/schizophrenia-aripiprazole-prolongedrelease-suspension-for-injection-pdf-1502680932221893" TargetMode="External"/><Relationship Id="rId3" Type="http://schemas.openxmlformats.org/officeDocument/2006/relationships/customXml" Target="../customXml/item3.xml"/><Relationship Id="rId21" Type="http://schemas.openxmlformats.org/officeDocument/2006/relationships/hyperlink" Target="http://www.medicines.org.uk/emc/medicine/28494/SPC/ABILIFY+MAINTENA+400+mg+powder+and+solvent+for+prolonged-release+suspension+for+injectio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yellowcard.gov.uk" TargetMode="External"/><Relationship Id="rId17" Type="http://schemas.openxmlformats.org/officeDocument/2006/relationships/hyperlink" Target="http://www.medicines.org.uk/emc/medicine/28494/SPC/ABILIFY+MAINTENA+400+mg+powder+and+solvent+for+prolonged-release+suspension+for+injection/" TargetMode="External"/><Relationship Id="rId25" Type="http://schemas.openxmlformats.org/officeDocument/2006/relationships/hyperlink" Target="http://www.scottishmedicines.org.uk/SMC_Advice/Advice/962_14_aripiprazole_Abilify_Maintena/aripiprazole_Abilif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icines.org.uk/emc/medicine/28494/SPC/ABILIFY+MAINTENA+400+mg+powder+and+solvent+for+prolonged-release+suspension+for+injection/" TargetMode="External"/><Relationship Id="rId20" Type="http://schemas.openxmlformats.org/officeDocument/2006/relationships/hyperlink" Target="http://www.medicines.org.uk/emc/medicine/28494/SPC/ABILIFY+MAINTENA+400+mg+powder+and+solvent+for+prolonged-release+suspension+for+injec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edicines.org.uk/emc/product/7965/smpc"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medicines.org.uk/emc/medicine/28494/SPC/ABILIFY+MAINTENA+400+mg+powder+and+solvent+for+prolonged-release+suspension+for+injection/" TargetMode="External"/><Relationship Id="rId23" Type="http://schemas.openxmlformats.org/officeDocument/2006/relationships/hyperlink" Target="mailto:oxl-tr.medicinesinfo@nhs.net" TargetMode="External"/><Relationship Id="rId28" Type="http://schemas.openxmlformats.org/officeDocument/2006/relationships/hyperlink" Target="http://onlinelibrary.wiley.com/doi/10.1002/14651858.CD006569.pub5/abstract" TargetMode="External"/><Relationship Id="rId10" Type="http://schemas.openxmlformats.org/officeDocument/2006/relationships/footnotes" Target="footnotes.xml"/><Relationship Id="rId19" Type="http://schemas.openxmlformats.org/officeDocument/2006/relationships/hyperlink" Target="http://www.medicines.org.uk/emc/medicine/28494/SPC/ABILIFY+MAINTENA+400+mg+powder+and+solvent+for+prolonged-release+suspension+for+injectio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ines.org.uk" TargetMode="External"/><Relationship Id="rId22" Type="http://schemas.openxmlformats.org/officeDocument/2006/relationships/hyperlink" Target="http://www.medicines.org.uk/emc/medicine/28494/SPC/ABILIFY+MAINTENA+400+mg+powder+and+solvent+for+prolonged-release+suspension+for+injection/" TargetMode="External"/><Relationship Id="rId27" Type="http://schemas.openxmlformats.org/officeDocument/2006/relationships/hyperlink" Target="https://www.nice.org.uk/guidance/cg178"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5.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7EDD2-9CC7-46EC-8881-E4A3738887C8}">
  <ds:schemaRefs>
    <ds:schemaRef ds:uri="http://schemas.openxmlformats.org/officeDocument/2006/bibliography"/>
  </ds:schemaRefs>
</ds:datastoreItem>
</file>

<file path=customXml/itemProps2.xml><?xml version="1.0" encoding="utf-8"?>
<ds:datastoreItem xmlns:ds="http://schemas.openxmlformats.org/officeDocument/2006/customXml" ds:itemID="{F6854DDA-1641-41A7-8348-F2F691FB2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865EC-D7DF-477C-B8F9-957FCBF9641A}">
  <ds:schemaRefs>
    <ds:schemaRef ds:uri="http://schemas.microsoft.com/sharepoint/v3/contenttype/forms"/>
  </ds:schemaRefs>
</ds:datastoreItem>
</file>

<file path=customXml/itemProps4.xml><?xml version="1.0" encoding="utf-8"?>
<ds:datastoreItem xmlns:ds="http://schemas.openxmlformats.org/officeDocument/2006/customXml" ds:itemID="{15C7FA0D-03F3-42EA-9BDF-9AC976CB1A65}">
  <ds:schemaRefs>
    <ds:schemaRef ds:uri="Microsoft.SharePoint.Taxonomy.ContentTypeSync"/>
  </ds:schemaRefs>
</ds:datastoreItem>
</file>

<file path=customXml/itemProps5.xml><?xml version="1.0" encoding="utf-8"?>
<ds:datastoreItem xmlns:ds="http://schemas.openxmlformats.org/officeDocument/2006/customXml" ds:itemID="{EEACC965-BA83-4BE5-880B-EDBBC46FE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creator>Richard Brady</dc:creator>
  <cp:lastModifiedBy>Diane Hannaford (NHS South East London ICB)</cp:lastModifiedBy>
  <cp:revision>2</cp:revision>
  <cp:lastPrinted>2018-10-15T12:36:00Z</cp:lastPrinted>
  <dcterms:created xsi:type="dcterms:W3CDTF">2022-12-06T09:49:00Z</dcterms:created>
  <dcterms:modified xsi:type="dcterms:W3CDTF">2022-12-06T09:49:00Z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axCatchAll">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MediaServiceImageTags">
    <vt:lpwstr/>
  </property>
  <property fmtid="{D5CDD505-2E9C-101B-9397-08002B2CF9AE}" pid="15" name="lcf76f155ced4ddcb4097134ff3c332f">
    <vt:lpwstr/>
  </property>
</Properties>
</file>