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1394E" w:rsidRDefault="0091394E" w14:paraId="58144052" w14:textId="77777777"/>
    <w:p w:rsidR="003D2EA1" w:rsidP="003D2EA1" w:rsidRDefault="003D2EA1" w14:paraId="58325687" w14:textId="77777777">
      <w:pPr>
        <w:jc w:val="center"/>
        <w:rPr>
          <w:b/>
          <w:bCs/>
          <w:sz w:val="56"/>
          <w:szCs w:val="56"/>
        </w:rPr>
      </w:pPr>
    </w:p>
    <w:p w:rsidR="003D2EA1" w:rsidP="003D2EA1" w:rsidRDefault="003D2EA1" w14:paraId="74B53CAC" w14:textId="77777777">
      <w:pPr>
        <w:jc w:val="center"/>
        <w:rPr>
          <w:b/>
          <w:bCs/>
          <w:sz w:val="56"/>
          <w:szCs w:val="56"/>
        </w:rPr>
      </w:pPr>
    </w:p>
    <w:p w:rsidR="003D2EA1" w:rsidP="003D2EA1" w:rsidRDefault="003D2EA1" w14:paraId="6C2DE7C9" w14:textId="77777777">
      <w:pPr>
        <w:jc w:val="center"/>
        <w:rPr>
          <w:b/>
          <w:bCs/>
          <w:sz w:val="56"/>
          <w:szCs w:val="56"/>
        </w:rPr>
      </w:pPr>
    </w:p>
    <w:p w:rsidR="003D2EA1" w:rsidP="003D2EA1" w:rsidRDefault="003D2EA1" w14:paraId="09264A1D" w14:textId="77777777">
      <w:pPr>
        <w:jc w:val="center"/>
        <w:rPr>
          <w:b/>
          <w:bCs/>
          <w:sz w:val="56"/>
          <w:szCs w:val="56"/>
        </w:rPr>
      </w:pPr>
    </w:p>
    <w:p w:rsidR="003D2EA1" w:rsidP="003D2EA1" w:rsidRDefault="003D2EA1" w14:paraId="24E6362A" w14:textId="77777777">
      <w:pPr>
        <w:jc w:val="center"/>
        <w:rPr>
          <w:b/>
          <w:bCs/>
          <w:sz w:val="56"/>
          <w:szCs w:val="56"/>
        </w:rPr>
      </w:pPr>
    </w:p>
    <w:p w:rsidRPr="006E4170" w:rsidR="003D2EA1" w:rsidP="003D2EA1" w:rsidRDefault="003D2EA1" w14:paraId="06428DEB" w14:textId="1CF60338">
      <w:pPr>
        <w:jc w:val="center"/>
        <w:rPr>
          <w:b/>
          <w:bCs/>
          <w:sz w:val="60"/>
          <w:szCs w:val="60"/>
        </w:rPr>
      </w:pPr>
      <w:r w:rsidRPr="006E4170">
        <w:rPr>
          <w:b/>
          <w:bCs/>
          <w:sz w:val="60"/>
          <w:szCs w:val="60"/>
        </w:rPr>
        <w:t>Standard Operating Procedure</w:t>
      </w:r>
    </w:p>
    <w:p w:rsidR="003D2EA1" w:rsidP="003D2EA1" w:rsidRDefault="003D2EA1" w14:paraId="71B708AB" w14:textId="77777777">
      <w:pPr>
        <w:jc w:val="center"/>
        <w:rPr>
          <w:b/>
          <w:bCs/>
          <w:sz w:val="56"/>
          <w:szCs w:val="56"/>
        </w:rPr>
      </w:pPr>
    </w:p>
    <w:p w:rsidR="003D2EA1" w:rsidP="003D2EA1" w:rsidRDefault="003D2EA1" w14:paraId="13B2BE98" w14:textId="70CC4E81">
      <w:pPr>
        <w:jc w:val="center"/>
        <w:rPr>
          <w:b/>
          <w:bCs/>
          <w:sz w:val="48"/>
          <w:szCs w:val="48"/>
        </w:rPr>
      </w:pPr>
      <w:r w:rsidRPr="003D2EA1">
        <w:rPr>
          <w:b/>
          <w:bCs/>
          <w:sz w:val="48"/>
          <w:szCs w:val="48"/>
        </w:rPr>
        <w:t>Management of Quality Alerts (QAs) in South East London Integrated Care Board</w:t>
      </w:r>
    </w:p>
    <w:p w:rsidR="00741581" w:rsidRDefault="00741581" w14:paraId="4FE56570" w14:textId="2DF975EB">
      <w:r>
        <w:br w:type="page"/>
      </w:r>
    </w:p>
    <w:p w:rsidRPr="004B7BD7" w:rsidR="00800B47" w:rsidP="00800B47" w:rsidRDefault="00800B47" w14:paraId="3F6AFC0F" w14:textId="77777777">
      <w:pPr>
        <w:rPr>
          <w:b/>
          <w:bCs/>
          <w:sz w:val="28"/>
          <w:szCs w:val="28"/>
        </w:rPr>
      </w:pPr>
      <w:r w:rsidRPr="007A3F21">
        <w:rPr>
          <w:b/>
          <w:bCs/>
          <w:sz w:val="28"/>
          <w:szCs w:val="28"/>
        </w:rPr>
        <w:t>DOCUMENT INFORMATION</w:t>
      </w:r>
    </w:p>
    <w:p w:rsidRPr="007A3F21" w:rsidR="00800B47" w:rsidP="00800B47" w:rsidRDefault="00800B47" w14:paraId="06549376" w14:textId="77777777"/>
    <w:p w:rsidR="00800B47" w:rsidP="00800B47" w:rsidRDefault="00800B47" w14:paraId="75A9B855" w14:textId="77777777"/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799"/>
        <w:gridCol w:w="5699"/>
      </w:tblGrid>
      <w:tr w:rsidRPr="00477285" w:rsidR="00800B47" w:rsidTr="44BF92CF" w14:paraId="6EAAAC29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0B118400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Approved by</w:t>
            </w:r>
          </w:p>
        </w:tc>
        <w:tc>
          <w:tcPr>
            <w:tcW w:w="5699" w:type="dxa"/>
          </w:tcPr>
          <w:p w:rsidRPr="00477285" w:rsidR="00800B47" w:rsidP="00D7766C" w:rsidRDefault="7C6B8664" w14:paraId="3A01B5DD" w14:textId="78733FCA">
            <w:pPr>
              <w:rPr>
                <w:rFonts w:ascii="Arial" w:hAnsi="Arial" w:cs="Arial"/>
              </w:rPr>
            </w:pPr>
            <w:r w:rsidRPr="44BF92CF">
              <w:rPr>
                <w:rFonts w:ascii="Arial" w:hAnsi="Arial" w:cs="Arial"/>
                <w:color w:val="0000CC"/>
              </w:rPr>
              <w:t xml:space="preserve">Themes and Concerns </w:t>
            </w:r>
            <w:r w:rsidRPr="44BF92CF" w:rsidR="20DF69F7">
              <w:rPr>
                <w:rFonts w:ascii="Arial" w:hAnsi="Arial" w:cs="Arial"/>
                <w:color w:val="0000CC"/>
              </w:rPr>
              <w:t>Group</w:t>
            </w:r>
            <w:r w:rsidRPr="44BF92CF">
              <w:rPr>
                <w:rFonts w:ascii="Arial" w:hAnsi="Arial" w:cs="Arial"/>
                <w:color w:val="0000CC"/>
              </w:rPr>
              <w:t xml:space="preserve"> (TC</w:t>
            </w:r>
            <w:r w:rsidRPr="44BF92CF" w:rsidR="6D4FD6CD">
              <w:rPr>
                <w:rFonts w:ascii="Arial" w:hAnsi="Arial" w:cs="Arial"/>
                <w:color w:val="0000CC"/>
              </w:rPr>
              <w:t>G</w:t>
            </w:r>
            <w:r w:rsidRPr="44BF92CF">
              <w:rPr>
                <w:rFonts w:ascii="Arial" w:hAnsi="Arial" w:cs="Arial"/>
                <w:color w:val="0000CC"/>
              </w:rPr>
              <w:t>)</w:t>
            </w:r>
          </w:p>
        </w:tc>
      </w:tr>
      <w:tr w:rsidRPr="00477285" w:rsidR="00800B47" w:rsidTr="44BF92CF" w14:paraId="3AF48605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249B88AC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Approved Date</w:t>
            </w:r>
          </w:p>
        </w:tc>
        <w:tc>
          <w:tcPr>
            <w:tcW w:w="5699" w:type="dxa"/>
          </w:tcPr>
          <w:p w:rsidRPr="00477285" w:rsidR="00800B47" w:rsidP="00D7766C" w:rsidRDefault="2CC14CF2" w14:paraId="7DD6F7FC" w14:textId="1BD61624">
            <w:pPr>
              <w:rPr>
                <w:rFonts w:ascii="Arial" w:hAnsi="Arial" w:cs="Arial"/>
              </w:rPr>
            </w:pPr>
            <w:r w:rsidRPr="44BF92CF">
              <w:rPr>
                <w:rFonts w:ascii="Arial" w:hAnsi="Arial" w:cs="Arial"/>
                <w:color w:val="0000CC"/>
              </w:rPr>
              <w:t>August</w:t>
            </w:r>
            <w:r w:rsidRPr="44BF92CF" w:rsidR="4AA6054A">
              <w:rPr>
                <w:rFonts w:ascii="Arial" w:hAnsi="Arial" w:cs="Arial"/>
                <w:color w:val="0000CC"/>
              </w:rPr>
              <w:t xml:space="preserve"> 2023</w:t>
            </w:r>
          </w:p>
        </w:tc>
      </w:tr>
      <w:tr w:rsidRPr="00477285" w:rsidR="00800B47" w:rsidTr="44BF92CF" w14:paraId="5BE0A43D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51C630E0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Name and title of originator /author</w:t>
            </w:r>
          </w:p>
        </w:tc>
        <w:tc>
          <w:tcPr>
            <w:tcW w:w="5699" w:type="dxa"/>
          </w:tcPr>
          <w:p w:rsidRPr="006E388E" w:rsidR="006E388E" w:rsidP="00D7766C" w:rsidRDefault="006E388E" w14:paraId="31B93028" w14:textId="492770F8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>Dean Francis, Quality Support Manager</w:t>
            </w:r>
          </w:p>
          <w:p w:rsidRPr="006E388E" w:rsidR="006E388E" w:rsidP="00D7766C" w:rsidRDefault="006E388E" w14:paraId="175C4039" w14:textId="39F2F02A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>Diane Goodenough, Quality Manager</w:t>
            </w:r>
          </w:p>
          <w:p w:rsidRPr="00477285" w:rsidR="00800B47" w:rsidP="006E388E" w:rsidRDefault="00800B47" w14:paraId="38241905" w14:textId="4C761D3D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 xml:space="preserve">Fiona Leacock, </w:t>
            </w:r>
            <w:r w:rsidR="006E388E">
              <w:rPr>
                <w:rFonts w:ascii="Arial" w:hAnsi="Arial" w:cs="Arial"/>
                <w:color w:val="0000CC"/>
              </w:rPr>
              <w:t xml:space="preserve">Associate Director of Quality </w:t>
            </w:r>
          </w:p>
        </w:tc>
      </w:tr>
      <w:tr w:rsidRPr="00477285" w:rsidR="00800B47" w:rsidTr="44BF92CF" w14:paraId="340C58B3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5409A6AE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Name and title of sponsor</w:t>
            </w:r>
          </w:p>
        </w:tc>
        <w:tc>
          <w:tcPr>
            <w:tcW w:w="5699" w:type="dxa"/>
          </w:tcPr>
          <w:p w:rsidRPr="00477285" w:rsidR="00800B47" w:rsidP="00D7766C" w:rsidRDefault="006E388E" w14:paraId="114C37FB" w14:textId="2607E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CC"/>
              </w:rPr>
              <w:t>Paul Larrisey</w:t>
            </w:r>
            <w:r w:rsidRPr="00477285" w:rsidR="00800B47">
              <w:rPr>
                <w:rFonts w:ascii="Arial" w:hAnsi="Arial" w:cs="Arial"/>
              </w:rPr>
              <w:t>, Director of Quality</w:t>
            </w:r>
          </w:p>
        </w:tc>
      </w:tr>
      <w:tr w:rsidRPr="00477285" w:rsidR="00800B47" w:rsidTr="44BF92CF" w14:paraId="7BB0412E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58B38D90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 xml:space="preserve">Name of responsible committee </w:t>
            </w:r>
          </w:p>
        </w:tc>
        <w:tc>
          <w:tcPr>
            <w:tcW w:w="5699" w:type="dxa"/>
          </w:tcPr>
          <w:p w:rsidRPr="00477285" w:rsidR="00800B47" w:rsidP="00D7766C" w:rsidRDefault="4AA6054A" w14:paraId="7B4AB28A" w14:textId="68D71277">
            <w:pPr>
              <w:rPr>
                <w:rFonts w:ascii="Arial" w:hAnsi="Arial" w:cs="Arial"/>
              </w:rPr>
            </w:pPr>
            <w:r w:rsidRPr="44BF92CF">
              <w:rPr>
                <w:rFonts w:ascii="Arial" w:hAnsi="Arial" w:cs="Arial"/>
                <w:color w:val="0000CC"/>
              </w:rPr>
              <w:t xml:space="preserve">Themes and Concerns </w:t>
            </w:r>
            <w:r w:rsidRPr="44BF92CF" w:rsidR="1C8DAD6A">
              <w:rPr>
                <w:rFonts w:ascii="Arial" w:hAnsi="Arial" w:cs="Arial"/>
                <w:color w:val="0000CC"/>
              </w:rPr>
              <w:t>Group</w:t>
            </w:r>
            <w:r w:rsidRPr="44BF92CF">
              <w:rPr>
                <w:rFonts w:ascii="Arial" w:hAnsi="Arial" w:cs="Arial"/>
                <w:color w:val="0000CC"/>
              </w:rPr>
              <w:t xml:space="preserve"> (TC</w:t>
            </w:r>
            <w:r w:rsidRPr="44BF92CF" w:rsidR="2F0A2F55">
              <w:rPr>
                <w:rFonts w:ascii="Arial" w:hAnsi="Arial" w:cs="Arial"/>
                <w:color w:val="0000CC"/>
              </w:rPr>
              <w:t>G</w:t>
            </w:r>
            <w:r w:rsidRPr="44BF92CF">
              <w:rPr>
                <w:rFonts w:ascii="Arial" w:hAnsi="Arial" w:cs="Arial"/>
                <w:color w:val="0000CC"/>
              </w:rPr>
              <w:t>)</w:t>
            </w:r>
          </w:p>
        </w:tc>
      </w:tr>
      <w:tr w:rsidRPr="00477285" w:rsidR="00800B47" w:rsidTr="44BF92CF" w14:paraId="3DF70A47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33C17507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Review date</w:t>
            </w:r>
          </w:p>
        </w:tc>
        <w:tc>
          <w:tcPr>
            <w:tcW w:w="5699" w:type="dxa"/>
          </w:tcPr>
          <w:p w:rsidRPr="006E388E" w:rsidR="00800B47" w:rsidP="00D7766C" w:rsidRDefault="00577B97" w14:paraId="1FB35600" w14:textId="67EDD0FE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>August</w:t>
            </w:r>
            <w:r w:rsidR="006E388E">
              <w:rPr>
                <w:rFonts w:ascii="Arial" w:hAnsi="Arial" w:cs="Arial"/>
                <w:color w:val="0000CC"/>
              </w:rPr>
              <w:t xml:space="preserve"> 202</w:t>
            </w:r>
            <w:r w:rsidR="00593F17">
              <w:rPr>
                <w:rFonts w:ascii="Arial" w:hAnsi="Arial" w:cs="Arial"/>
                <w:color w:val="0000CC"/>
              </w:rPr>
              <w:t>6</w:t>
            </w:r>
          </w:p>
        </w:tc>
      </w:tr>
      <w:tr w:rsidRPr="00477285" w:rsidR="00800B47" w:rsidTr="44BF92CF" w14:paraId="7BE0F618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49521C2F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Target audience</w:t>
            </w:r>
          </w:p>
        </w:tc>
        <w:tc>
          <w:tcPr>
            <w:tcW w:w="5699" w:type="dxa"/>
          </w:tcPr>
          <w:p w:rsidRPr="00477285" w:rsidR="00800B47" w:rsidP="00D7766C" w:rsidRDefault="00800B47" w14:paraId="6E1021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</w:p>
        </w:tc>
      </w:tr>
      <w:tr w:rsidRPr="00477285" w:rsidR="00800B47" w:rsidTr="44BF92CF" w14:paraId="07B3BFFA" w14:textId="77777777">
        <w:tc>
          <w:tcPr>
            <w:tcW w:w="3799" w:type="dxa"/>
            <w:shd w:val="clear" w:color="auto" w:fill="D9D9D9" w:themeFill="background1" w:themeFillShade="D9"/>
          </w:tcPr>
          <w:p w:rsidRPr="00477285" w:rsidR="00800B47" w:rsidP="00D7766C" w:rsidRDefault="00800B47" w14:paraId="004E0084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Stakeholders engaged in development or review</w:t>
            </w:r>
          </w:p>
        </w:tc>
        <w:tc>
          <w:tcPr>
            <w:tcW w:w="5699" w:type="dxa"/>
          </w:tcPr>
          <w:p w:rsidR="00800B47" w:rsidP="00D7766C" w:rsidRDefault="00800B47" w14:paraId="4B767C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Body Members with responsibility for Patient Safety and Quality</w:t>
            </w:r>
          </w:p>
          <w:p w:rsidR="00800B47" w:rsidP="00D7766C" w:rsidRDefault="00800B47" w14:paraId="1BA37A0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and Associate Directors of Quality</w:t>
            </w:r>
          </w:p>
          <w:p w:rsidR="00800B47" w:rsidP="00D7766C" w:rsidRDefault="00800B47" w14:paraId="68FF08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Heads of Quality</w:t>
            </w:r>
          </w:p>
          <w:p w:rsidR="006E388E" w:rsidP="00D7766C" w:rsidRDefault="006E388E" w14:paraId="0EDDA4FE" w14:textId="77777777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>Senior Quality Managers</w:t>
            </w:r>
          </w:p>
          <w:p w:rsidRPr="006E388E" w:rsidR="006E388E" w:rsidP="00D7766C" w:rsidRDefault="006E388E" w14:paraId="698E0070" w14:textId="4AF891AE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>Senior Quality Lead</w:t>
            </w:r>
          </w:p>
        </w:tc>
      </w:tr>
    </w:tbl>
    <w:p w:rsidR="00800B47" w:rsidP="00800B47" w:rsidRDefault="00800B47" w14:paraId="15D893E5" w14:textId="77777777"/>
    <w:p w:rsidRPr="004B7BD7" w:rsidR="00800B47" w:rsidP="00800B47" w:rsidRDefault="00800B47" w14:paraId="30AE62E7" w14:textId="77777777">
      <w:pPr>
        <w:rPr>
          <w:b/>
          <w:bCs/>
        </w:rPr>
      </w:pPr>
      <w:r w:rsidRPr="004B7BD7">
        <w:rPr>
          <w:b/>
          <w:bCs/>
        </w:rPr>
        <w:t>Version Control</w:t>
      </w:r>
    </w:p>
    <w:p w:rsidR="00800B47" w:rsidP="00800B47" w:rsidRDefault="00800B47" w14:paraId="2D14FFE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699"/>
      </w:tblGrid>
      <w:tr w:rsidRPr="00477285" w:rsidR="00800B47" w:rsidTr="006E388E" w14:paraId="57699421" w14:textId="77777777">
        <w:tc>
          <w:tcPr>
            <w:tcW w:w="3794" w:type="dxa"/>
          </w:tcPr>
          <w:p w:rsidRPr="00477285" w:rsidR="00800B47" w:rsidP="00D7766C" w:rsidRDefault="00800B47" w14:paraId="19AAEFEE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Version Number</w:t>
            </w:r>
          </w:p>
        </w:tc>
        <w:tc>
          <w:tcPr>
            <w:tcW w:w="5699" w:type="dxa"/>
          </w:tcPr>
          <w:p w:rsidRPr="00055EF5" w:rsidR="00800B47" w:rsidP="00D7766C" w:rsidRDefault="00DB4C8D" w14:paraId="4DC34637" w14:textId="1421C1E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CC"/>
              </w:rPr>
              <w:t>2</w:t>
            </w:r>
          </w:p>
        </w:tc>
      </w:tr>
      <w:tr w:rsidRPr="00477285" w:rsidR="00800B47" w:rsidTr="006E388E" w14:paraId="15CEBF6F" w14:textId="77777777">
        <w:tc>
          <w:tcPr>
            <w:tcW w:w="3794" w:type="dxa"/>
          </w:tcPr>
          <w:p w:rsidRPr="00477285" w:rsidR="00800B47" w:rsidP="00D7766C" w:rsidRDefault="00800B47" w14:paraId="0864A243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Supersedes</w:t>
            </w:r>
          </w:p>
        </w:tc>
        <w:tc>
          <w:tcPr>
            <w:tcW w:w="5699" w:type="dxa"/>
          </w:tcPr>
          <w:p w:rsidRPr="00DB4C8D" w:rsidR="00800B47" w:rsidP="00D7766C" w:rsidRDefault="00DB4C8D" w14:paraId="17B1A9E0" w14:textId="218EAA40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>1.2</w:t>
            </w:r>
          </w:p>
        </w:tc>
      </w:tr>
    </w:tbl>
    <w:p w:rsidR="00800B47" w:rsidP="00800B47" w:rsidRDefault="00800B47" w14:paraId="3792BC9F" w14:textId="77777777"/>
    <w:p w:rsidRPr="00477285" w:rsidR="00800B47" w:rsidP="00800B47" w:rsidRDefault="00800B47" w14:paraId="135AFB8D" w14:textId="77777777">
      <w:pPr>
        <w:rPr>
          <w:b/>
          <w:bCs/>
        </w:rPr>
      </w:pPr>
    </w:p>
    <w:p w:rsidR="00800B47" w:rsidP="00800B47" w:rsidRDefault="00800B47" w14:paraId="24711742" w14:textId="77777777">
      <w:pPr>
        <w:rPr>
          <w:b/>
          <w:bCs/>
        </w:rPr>
      </w:pPr>
      <w:r w:rsidRPr="00477285">
        <w:rPr>
          <w:b/>
          <w:bCs/>
        </w:rPr>
        <w:t>Implementation</w:t>
      </w:r>
    </w:p>
    <w:p w:rsidRPr="00477285" w:rsidR="00800B47" w:rsidP="00800B47" w:rsidRDefault="00800B47" w14:paraId="2195F9F3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699"/>
      </w:tblGrid>
      <w:tr w:rsidRPr="00477285" w:rsidR="00800B47" w:rsidTr="006E388E" w14:paraId="32F0EC25" w14:textId="77777777">
        <w:tc>
          <w:tcPr>
            <w:tcW w:w="3794" w:type="dxa"/>
          </w:tcPr>
          <w:p w:rsidRPr="00477285" w:rsidR="00800B47" w:rsidP="00D7766C" w:rsidRDefault="00800B47" w14:paraId="11A290E2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Implementation plan in place</w:t>
            </w:r>
          </w:p>
        </w:tc>
        <w:tc>
          <w:tcPr>
            <w:tcW w:w="5699" w:type="dxa"/>
          </w:tcPr>
          <w:p w:rsidRPr="00477285" w:rsidR="00800B47" w:rsidP="00D7766C" w:rsidRDefault="00800B47" w14:paraId="249CEB0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Pr="00477285" w:rsidR="00800B47" w:rsidTr="006E388E" w14:paraId="012E693C" w14:textId="77777777">
        <w:tc>
          <w:tcPr>
            <w:tcW w:w="3794" w:type="dxa"/>
          </w:tcPr>
          <w:p w:rsidRPr="00477285" w:rsidR="00800B47" w:rsidP="00D7766C" w:rsidRDefault="00800B47" w14:paraId="5FA00C4D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Method and date of dissemination</w:t>
            </w:r>
          </w:p>
        </w:tc>
        <w:tc>
          <w:tcPr>
            <w:tcW w:w="5699" w:type="dxa"/>
          </w:tcPr>
          <w:p w:rsidR="00800B47" w:rsidP="00D7766C" w:rsidRDefault="00800B47" w14:paraId="1A04BD0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email</w:t>
            </w:r>
          </w:p>
          <w:p w:rsidRPr="00477285" w:rsidR="00800B47" w:rsidP="00D7766C" w:rsidRDefault="00DB4C8D" w14:paraId="42D50505" w14:textId="52293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CC"/>
              </w:rPr>
              <w:t>August 2023</w:t>
            </w:r>
          </w:p>
        </w:tc>
      </w:tr>
    </w:tbl>
    <w:p w:rsidR="00800B47" w:rsidP="00800B47" w:rsidRDefault="00800B47" w14:paraId="6C87E328" w14:textId="77777777">
      <w:pPr>
        <w:rPr>
          <w:b/>
          <w:bCs/>
        </w:rPr>
      </w:pPr>
    </w:p>
    <w:p w:rsidRPr="00477285" w:rsidR="00800B47" w:rsidP="00800B47" w:rsidRDefault="00800B47" w14:paraId="342276DC" w14:textId="77777777">
      <w:pPr>
        <w:rPr>
          <w:b/>
          <w:bCs/>
        </w:rPr>
      </w:pPr>
    </w:p>
    <w:p w:rsidR="00800B47" w:rsidP="00800B47" w:rsidRDefault="00800B47" w14:paraId="2936A892" w14:textId="77777777">
      <w:pPr>
        <w:rPr>
          <w:b/>
          <w:bCs/>
        </w:rPr>
      </w:pPr>
      <w:r w:rsidRPr="00477285">
        <w:rPr>
          <w:b/>
          <w:bCs/>
        </w:rPr>
        <w:t>Monitoring</w:t>
      </w:r>
    </w:p>
    <w:p w:rsidRPr="00477285" w:rsidR="00800B47" w:rsidP="00800B47" w:rsidRDefault="00800B47" w14:paraId="30EDA9EE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699"/>
      </w:tblGrid>
      <w:tr w:rsidRPr="00477285" w:rsidR="00800B47" w:rsidTr="006E388E" w14:paraId="6C407E79" w14:textId="77777777">
        <w:tc>
          <w:tcPr>
            <w:tcW w:w="3794" w:type="dxa"/>
          </w:tcPr>
          <w:p w:rsidRPr="00477285" w:rsidR="00800B47" w:rsidP="00D7766C" w:rsidRDefault="00800B47" w14:paraId="289CCE7A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Monitoring method</w:t>
            </w:r>
          </w:p>
        </w:tc>
        <w:tc>
          <w:tcPr>
            <w:tcW w:w="5699" w:type="dxa"/>
          </w:tcPr>
          <w:p w:rsidRPr="00477285" w:rsidR="00800B47" w:rsidP="00D7766C" w:rsidRDefault="00800B47" w14:paraId="22A9EEF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&amp; Review of reporting</w:t>
            </w:r>
          </w:p>
        </w:tc>
      </w:tr>
      <w:tr w:rsidRPr="00477285" w:rsidR="00800B47" w:rsidTr="006E388E" w14:paraId="124EAC88" w14:textId="77777777">
        <w:tc>
          <w:tcPr>
            <w:tcW w:w="3794" w:type="dxa"/>
          </w:tcPr>
          <w:p w:rsidRPr="00477285" w:rsidR="00800B47" w:rsidP="00D7766C" w:rsidRDefault="00800B47" w14:paraId="0140C985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Frequency</w:t>
            </w:r>
          </w:p>
        </w:tc>
        <w:tc>
          <w:tcPr>
            <w:tcW w:w="5699" w:type="dxa"/>
          </w:tcPr>
          <w:p w:rsidRPr="00477285" w:rsidR="00800B47" w:rsidP="00D7766C" w:rsidRDefault="00C64A33" w14:paraId="2D7F939D" w14:textId="13FF6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CC"/>
              </w:rPr>
              <w:t>Every 3 years</w:t>
            </w:r>
          </w:p>
        </w:tc>
      </w:tr>
      <w:tr w:rsidRPr="00477285" w:rsidR="00800B47" w:rsidTr="006E388E" w14:paraId="66E84738" w14:textId="77777777">
        <w:tc>
          <w:tcPr>
            <w:tcW w:w="3794" w:type="dxa"/>
          </w:tcPr>
          <w:p w:rsidRPr="00477285" w:rsidR="00800B47" w:rsidP="00D7766C" w:rsidRDefault="00800B47" w14:paraId="6F3D88C0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5699" w:type="dxa"/>
          </w:tcPr>
          <w:p w:rsidRPr="00477285" w:rsidR="00800B47" w:rsidP="00D7766C" w:rsidRDefault="00800B47" w14:paraId="26B41DC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Director of Quality</w:t>
            </w:r>
          </w:p>
        </w:tc>
      </w:tr>
    </w:tbl>
    <w:p w:rsidR="00800B47" w:rsidP="00800B47" w:rsidRDefault="00800B47" w14:paraId="44FFA91D" w14:textId="77777777">
      <w:pPr>
        <w:rPr>
          <w:b/>
          <w:bCs/>
        </w:rPr>
      </w:pPr>
    </w:p>
    <w:p w:rsidRPr="00477285" w:rsidR="00800B47" w:rsidP="00800B47" w:rsidRDefault="00800B47" w14:paraId="1F078F49" w14:textId="77777777">
      <w:pPr>
        <w:rPr>
          <w:b/>
          <w:bCs/>
        </w:rPr>
      </w:pPr>
    </w:p>
    <w:p w:rsidR="00800B47" w:rsidP="00800B47" w:rsidRDefault="00800B47" w14:paraId="00109D85" w14:textId="77777777">
      <w:pPr>
        <w:rPr>
          <w:b/>
          <w:bCs/>
        </w:rPr>
      </w:pPr>
      <w:r w:rsidRPr="00477285">
        <w:rPr>
          <w:b/>
          <w:bCs/>
        </w:rPr>
        <w:t>Document Review Control Information</w:t>
      </w:r>
    </w:p>
    <w:p w:rsidRPr="00477285" w:rsidR="00800B47" w:rsidP="00800B47" w:rsidRDefault="00800B47" w14:paraId="18779B0F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729"/>
        <w:gridCol w:w="2410"/>
        <w:gridCol w:w="4253"/>
      </w:tblGrid>
      <w:tr w:rsidRPr="00477285" w:rsidR="00800B47" w:rsidTr="6465F1F3" w14:paraId="29E74496" w14:textId="77777777">
        <w:tc>
          <w:tcPr>
            <w:tcW w:w="1101" w:type="dxa"/>
            <w:tcMar/>
          </w:tcPr>
          <w:p w:rsidRPr="00477285" w:rsidR="00800B47" w:rsidP="00D7766C" w:rsidRDefault="00800B47" w14:paraId="3F845A94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1729" w:type="dxa"/>
            <w:tcMar/>
          </w:tcPr>
          <w:p w:rsidRPr="00477285" w:rsidR="00800B47" w:rsidP="00D7766C" w:rsidRDefault="00800B47" w14:paraId="5393B5E0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410" w:type="dxa"/>
            <w:tcMar/>
          </w:tcPr>
          <w:p w:rsidRPr="00477285" w:rsidR="00800B47" w:rsidP="00D7766C" w:rsidRDefault="00800B47" w14:paraId="64B53F65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Reviewer</w:t>
            </w:r>
          </w:p>
          <w:p w:rsidRPr="00477285" w:rsidR="00800B47" w:rsidP="00D7766C" w:rsidRDefault="00800B47" w14:paraId="184DEA8C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Name(s) and Job titles</w:t>
            </w:r>
          </w:p>
        </w:tc>
        <w:tc>
          <w:tcPr>
            <w:tcW w:w="4253" w:type="dxa"/>
            <w:tcMar/>
          </w:tcPr>
          <w:p w:rsidRPr="00477285" w:rsidR="00800B47" w:rsidP="00D7766C" w:rsidRDefault="00800B47" w14:paraId="002BC312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Change/amendment</w:t>
            </w:r>
          </w:p>
        </w:tc>
      </w:tr>
      <w:tr w:rsidRPr="005B7772" w:rsidR="00800B47" w:rsidTr="6465F1F3" w14:paraId="7F8AEE30" w14:textId="77777777">
        <w:tc>
          <w:tcPr>
            <w:tcW w:w="1101" w:type="dxa"/>
            <w:tcMar/>
          </w:tcPr>
          <w:p w:rsidRPr="005B7772" w:rsidR="00800B47" w:rsidP="00D7766C" w:rsidRDefault="00800B47" w14:paraId="283EE711" w14:textId="77777777">
            <w:pPr>
              <w:rPr>
                <w:rFonts w:ascii="Arial" w:hAnsi="Arial" w:cs="Arial"/>
              </w:rPr>
            </w:pPr>
            <w:r w:rsidRPr="005B7772">
              <w:rPr>
                <w:rFonts w:ascii="Arial" w:hAnsi="Arial" w:cs="Arial"/>
              </w:rPr>
              <w:t>1.1</w:t>
            </w:r>
          </w:p>
        </w:tc>
        <w:tc>
          <w:tcPr>
            <w:tcW w:w="1729" w:type="dxa"/>
            <w:tcMar/>
          </w:tcPr>
          <w:p w:rsidRPr="005B7772" w:rsidR="00800B47" w:rsidP="00D7766C" w:rsidRDefault="00800B47" w14:paraId="10333E5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2020</w:t>
            </w:r>
          </w:p>
        </w:tc>
        <w:tc>
          <w:tcPr>
            <w:tcW w:w="2410" w:type="dxa"/>
            <w:tcMar/>
          </w:tcPr>
          <w:p w:rsidRPr="005B7772" w:rsidR="00800B47" w:rsidP="00D7766C" w:rsidRDefault="00800B47" w14:paraId="18EC185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Leacock/Harpinder Priest</w:t>
            </w:r>
          </w:p>
        </w:tc>
        <w:tc>
          <w:tcPr>
            <w:tcW w:w="4253" w:type="dxa"/>
            <w:tcMar/>
          </w:tcPr>
          <w:p w:rsidRPr="005B7772" w:rsidR="00800B47" w:rsidP="00D7766C" w:rsidRDefault="00800B47" w14:paraId="346E1E3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version</w:t>
            </w:r>
          </w:p>
        </w:tc>
      </w:tr>
      <w:tr w:rsidRPr="005B7772" w:rsidR="00800B47" w:rsidTr="6465F1F3" w14:paraId="654D34B0" w14:textId="77777777">
        <w:tc>
          <w:tcPr>
            <w:tcW w:w="1101" w:type="dxa"/>
            <w:tcMar/>
          </w:tcPr>
          <w:p w:rsidRPr="005B7772" w:rsidR="00800B47" w:rsidP="00D7766C" w:rsidRDefault="00800B47" w14:paraId="0FE094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729" w:type="dxa"/>
            <w:tcMar/>
          </w:tcPr>
          <w:p w:rsidR="00800B47" w:rsidP="00D7766C" w:rsidRDefault="00800B47" w14:paraId="359DD22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2020</w:t>
            </w:r>
          </w:p>
        </w:tc>
        <w:tc>
          <w:tcPr>
            <w:tcW w:w="2410" w:type="dxa"/>
            <w:tcMar/>
          </w:tcPr>
          <w:p w:rsidR="00800B47" w:rsidP="00D7766C" w:rsidRDefault="00800B47" w14:paraId="02940AE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Leacock/Harpinder Priest</w:t>
            </w:r>
          </w:p>
        </w:tc>
        <w:tc>
          <w:tcPr>
            <w:tcW w:w="4253" w:type="dxa"/>
            <w:tcMar/>
          </w:tcPr>
          <w:p w:rsidR="00800B47" w:rsidP="00D7766C" w:rsidRDefault="00800B47" w14:paraId="0473B0A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with new guidance and feedback</w:t>
            </w:r>
          </w:p>
        </w:tc>
      </w:tr>
      <w:tr w:rsidRPr="005B7772" w:rsidR="007D1CCC" w:rsidTr="6465F1F3" w14:paraId="092A1F2A" w14:textId="77777777">
        <w:tc>
          <w:tcPr>
            <w:tcW w:w="1101" w:type="dxa"/>
            <w:tcMar/>
          </w:tcPr>
          <w:p w:rsidRPr="007D1CCC" w:rsidR="007D1CCC" w:rsidP="6465F1F3" w:rsidRDefault="007D1CCC" w14:paraId="21C06899" w14:textId="3E1D5666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 xml:space="preserve">2.0 </w:t>
            </w:r>
          </w:p>
        </w:tc>
        <w:tc>
          <w:tcPr>
            <w:tcW w:w="1729" w:type="dxa"/>
            <w:tcMar/>
          </w:tcPr>
          <w:p w:rsidRPr="007D1CCC" w:rsidR="007D1CCC" w:rsidP="6465F1F3" w:rsidRDefault="007D1CCC" w14:paraId="6D796E60" w14:textId="542DA537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>July 2023</w:t>
            </w:r>
          </w:p>
        </w:tc>
        <w:tc>
          <w:tcPr>
            <w:tcW w:w="2410" w:type="dxa"/>
            <w:tcMar/>
          </w:tcPr>
          <w:p w:rsidR="007D1CCC" w:rsidP="6465F1F3" w:rsidRDefault="007D1CCC" w14:paraId="03D8469F" w14:textId="77777777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>Dean Francis /</w:t>
            </w:r>
          </w:p>
          <w:p w:rsidR="007D1CCC" w:rsidP="6465F1F3" w:rsidRDefault="007D1CCC" w14:paraId="656CD36D" w14:textId="77777777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>Diane Goodenough /</w:t>
            </w:r>
          </w:p>
          <w:p w:rsidRPr="007D1CCC" w:rsidR="007D1CCC" w:rsidP="6465F1F3" w:rsidRDefault="007D1CCC" w14:paraId="668C4CF0" w14:textId="0C6D7895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>Fiona Leacock</w:t>
            </w:r>
          </w:p>
        </w:tc>
        <w:tc>
          <w:tcPr>
            <w:tcW w:w="4253" w:type="dxa"/>
            <w:tcMar/>
          </w:tcPr>
          <w:p w:rsidR="007D1CCC" w:rsidP="6465F1F3" w:rsidRDefault="007D1CCC" w14:paraId="173A4659" w14:textId="77777777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>CCG merger into ICB</w:t>
            </w:r>
          </w:p>
          <w:p w:rsidRPr="007D1CCC" w:rsidR="007D1CCC" w:rsidP="6465F1F3" w:rsidRDefault="007D1CCC" w14:paraId="2F707AF7" w14:textId="2044BEA8" w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465F1F3" w:rsidR="007D1CCC">
              <w:rPr>
                <w:rFonts w:ascii="Arial" w:hAnsi="Arial" w:cs="Arial"/>
                <w:color w:val="000000" w:themeColor="text1" w:themeTint="FF" w:themeShade="FF"/>
              </w:rPr>
              <w:t xml:space="preserve">Updated with new guidance </w:t>
            </w:r>
          </w:p>
        </w:tc>
      </w:tr>
    </w:tbl>
    <w:p w:rsidR="00E75982" w:rsidP="6465F1F3" w:rsidRDefault="00E75982" w14:paraId="5418FD70" w14:textId="5DBFA5D3" w14:noSpellErr="1">
      <w:pPr>
        <w:rPr>
          <w:color w:val="000000" w:themeColor="text1" w:themeTint="FF" w:themeShade="FF"/>
        </w:rPr>
      </w:pPr>
      <w:r w:rsidRPr="6465F1F3">
        <w:rPr>
          <w:color w:val="000000" w:themeColor="text1" w:themeTint="FF" w:themeShade="FF"/>
        </w:rPr>
        <w:br w:type="page"/>
      </w:r>
    </w:p>
    <w:p w:rsidRPr="00C75D42" w:rsidR="00D254C7" w:rsidP="6465F1F3" w:rsidRDefault="00D254C7" w14:paraId="62FBE710" w14:textId="77777777" w14:noSpellErr="1">
      <w:pPr>
        <w:pStyle w:val="ListParagraph"/>
        <w:numPr>
          <w:ilvl w:val="0"/>
          <w:numId w:val="1"/>
        </w:num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D254C7">
        <w:rPr>
          <w:rFonts w:ascii="Arial" w:hAnsi="Arial" w:cs="Arial"/>
          <w:b w:val="1"/>
          <w:bCs w:val="1"/>
          <w:color w:val="000000" w:themeColor="text1" w:themeTint="FF" w:themeShade="FF"/>
        </w:rPr>
        <w:t>Statement</w:t>
      </w:r>
    </w:p>
    <w:p w:rsidR="00D254C7" w:rsidP="6465F1F3" w:rsidRDefault="00D254C7" w14:paraId="74DC35BD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="00D254C7" w:rsidP="6465F1F3" w:rsidRDefault="00D254C7" w14:paraId="3F068733" w14:textId="65302537" w14:noSpellErr="1">
      <w:pPr>
        <w:pStyle w:val="ListParagraph"/>
        <w:numPr>
          <w:ilvl w:val="1"/>
          <w:numId w:val="2"/>
        </w:numPr>
        <w:spacing w:line="259" w:lineRule="auto"/>
        <w:ind w:left="567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This </w:t>
      </w:r>
      <w:r w:rsidRPr="6465F1F3" w:rsidR="00D254C7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sets out the systems, processes, and accountability within </w:t>
      </w:r>
      <w:r w:rsidRPr="6465F1F3" w:rsidR="00D254C7">
        <w:rPr>
          <w:rFonts w:ascii="Arial" w:hAnsi="Arial" w:cs="Arial"/>
          <w:color w:val="000000" w:themeColor="text1" w:themeTint="FF" w:themeShade="FF"/>
        </w:rPr>
        <w:t>South East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London </w:t>
      </w:r>
      <w:r w:rsidRPr="6465F1F3" w:rsidR="004652E4">
        <w:rPr>
          <w:rFonts w:ascii="Arial" w:hAnsi="Arial" w:cs="Arial"/>
          <w:color w:val="000000" w:themeColor="text1" w:themeTint="FF" w:themeShade="FF"/>
        </w:rPr>
        <w:t>Integrated Care Board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(SEL </w:t>
      </w:r>
      <w:r w:rsidRPr="6465F1F3" w:rsidR="004652E4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>)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for the management of </w:t>
      </w:r>
      <w:r w:rsidRPr="6465F1F3" w:rsidR="00D254C7">
        <w:rPr>
          <w:rFonts w:ascii="Arial" w:hAnsi="Arial" w:cs="Arial"/>
          <w:color w:val="000000" w:themeColor="text1" w:themeTint="FF" w:themeShade="FF"/>
        </w:rPr>
        <w:t>Quality Alerts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D254C7">
        <w:rPr>
          <w:rFonts w:ascii="Arial" w:hAnsi="Arial" w:cs="Arial"/>
          <w:color w:val="000000" w:themeColor="text1" w:themeTint="FF" w:themeShade="FF"/>
        </w:rPr>
        <w:t>(QAs)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. 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By adopting this </w:t>
      </w:r>
      <w:r w:rsidRPr="6465F1F3" w:rsidR="00D254C7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,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SEL </w:t>
      </w:r>
      <w:r w:rsidRPr="6465F1F3" w:rsidR="004652E4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aims to improve the organisation’s ability to:</w:t>
      </w:r>
    </w:p>
    <w:p w:rsidRPr="000F088D" w:rsidR="00D254C7" w:rsidP="6465F1F3" w:rsidRDefault="00D254C7" w14:paraId="787D8CF6" w14:textId="77777777" w14:noSpellErr="1">
      <w:pPr>
        <w:rPr>
          <w:color w:val="000000" w:themeColor="text1" w:themeTint="FF" w:themeShade="FF"/>
        </w:rPr>
      </w:pPr>
    </w:p>
    <w:p w:rsidRPr="00477285" w:rsidR="00D254C7" w:rsidP="6465F1F3" w:rsidRDefault="00D254C7" w14:paraId="0395A69E" w14:textId="77777777" w14:noSpellErr="1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commission high quality, safe and accountable health services, </w:t>
      </w:r>
    </w:p>
    <w:p w:rsidRPr="00477285" w:rsidR="00D254C7" w:rsidP="6465F1F3" w:rsidRDefault="00D254C7" w14:paraId="1F25A895" w14:textId="77777777" w14:noSpellErr="1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minimise risk to patients and members of the public </w:t>
      </w:r>
    </w:p>
    <w:p w:rsidR="00D254C7" w:rsidP="6465F1F3" w:rsidRDefault="00D254C7" w14:paraId="02C123EA" w14:textId="77777777" w14:noSpellErr="1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share learning from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QAs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across the </w:t>
      </w:r>
      <w:r w:rsidRPr="6465F1F3" w:rsidR="00D254C7">
        <w:rPr>
          <w:rFonts w:ascii="Arial" w:hAnsi="Arial" w:cs="Arial"/>
          <w:color w:val="000000" w:themeColor="text1" w:themeTint="FF" w:themeShade="FF"/>
        </w:rPr>
        <w:t>South East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London Integrated Care System (ICS).</w:t>
      </w:r>
    </w:p>
    <w:p w:rsidR="00D254C7" w:rsidP="6465F1F3" w:rsidRDefault="00D254C7" w14:paraId="468B7BEF" w14:textId="77777777" w14:noSpellErr="1">
      <w:pPr>
        <w:spacing w:line="259" w:lineRule="auto"/>
        <w:rPr>
          <w:b w:val="1"/>
          <w:bCs w:val="1"/>
          <w:color w:val="000000" w:themeColor="text1" w:themeTint="FF" w:themeShade="FF"/>
        </w:rPr>
      </w:pPr>
    </w:p>
    <w:p w:rsidRPr="00CD441B" w:rsidR="00D254C7" w:rsidP="6465F1F3" w:rsidRDefault="002D3A8C" w14:paraId="701E54F1" w14:textId="10D3977E" w14:noSpellErr="1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2D3A8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465F1F3" w:rsidR="00D254C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Introduction </w:t>
      </w:r>
    </w:p>
    <w:p w:rsidRPr="00477285" w:rsidR="00D254C7" w:rsidP="6465F1F3" w:rsidRDefault="00D254C7" w14:paraId="56AD9F94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Pr="007F2CCB" w:rsidR="00D254C7" w:rsidP="6465F1F3" w:rsidRDefault="00D254C7" w14:paraId="5DCFDEAF" w14:textId="190C4731" w14:noSpellErr="1">
      <w:pPr>
        <w:pStyle w:val="ListParagraph"/>
        <w:numPr>
          <w:ilvl w:val="1"/>
          <w:numId w:val="2"/>
        </w:numPr>
        <w:spacing w:line="259" w:lineRule="auto"/>
        <w:ind w:left="567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>As a Commissioner</w:t>
      </w:r>
      <w:r w:rsidRPr="6465F1F3" w:rsidR="00877D1B">
        <w:rPr>
          <w:rFonts w:ascii="Arial" w:hAnsi="Arial" w:cs="Arial"/>
          <w:color w:val="000000" w:themeColor="text1" w:themeTint="FF" w:themeShade="FF"/>
        </w:rPr>
        <w:t>,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SEL </w:t>
      </w:r>
      <w:r w:rsidRPr="6465F1F3" w:rsidR="00877D1B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procures a range of services some of which are large and complex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.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SEL </w:t>
      </w:r>
      <w:r w:rsidRPr="6465F1F3" w:rsidR="00877D1B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is committed to </w:t>
      </w:r>
      <w:r w:rsidRPr="6465F1F3" w:rsidR="00D254C7">
        <w:rPr>
          <w:rFonts w:ascii="Arial" w:hAnsi="Arial" w:cs="Arial"/>
          <w:color w:val="000000" w:themeColor="text1" w:themeTint="FF" w:themeShade="FF"/>
        </w:rPr>
        <w:t>complying with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legislation and NHS standards that require </w:t>
      </w:r>
      <w:r w:rsidRPr="6465F1F3" w:rsidR="00D254C7">
        <w:rPr>
          <w:rFonts w:ascii="Arial" w:hAnsi="Arial" w:cs="Arial"/>
          <w:color w:val="000000" w:themeColor="text1" w:themeTint="FF" w:themeShade="FF"/>
        </w:rPr>
        <w:t>SEL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877D1B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to have robust systems and processes in place for the management of all </w:t>
      </w:r>
      <w:r w:rsidRPr="6465F1F3" w:rsidR="00D254C7">
        <w:rPr>
          <w:rFonts w:ascii="Arial" w:hAnsi="Arial" w:cs="Arial"/>
          <w:color w:val="000000" w:themeColor="text1" w:themeTint="FF" w:themeShade="FF"/>
        </w:rPr>
        <w:t>QAs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. </w:t>
      </w:r>
    </w:p>
    <w:p w:rsidR="00D254C7" w:rsidP="6465F1F3" w:rsidRDefault="00D254C7" w14:paraId="0A9ECB53" w14:textId="06C6F7E3" w14:noSpellErr="1">
      <w:pPr>
        <w:pStyle w:val="ListParagraph"/>
        <w:numPr>
          <w:ilvl w:val="1"/>
          <w:numId w:val="2"/>
        </w:numPr>
        <w:spacing w:line="259" w:lineRule="auto"/>
        <w:ind w:left="567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>This document applies to QAs reported to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the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SEL </w:t>
      </w:r>
      <w:r w:rsidRPr="6465F1F3" w:rsidR="00877D1B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Quality </w:t>
      </w:r>
      <w:r w:rsidRPr="6465F1F3" w:rsidR="00877D1B">
        <w:rPr>
          <w:rFonts w:ascii="Arial" w:hAnsi="Arial" w:cs="Arial"/>
          <w:color w:val="000000" w:themeColor="text1" w:themeTint="FF" w:themeShade="FF"/>
        </w:rPr>
        <w:t xml:space="preserve">Information </w:t>
      </w:r>
      <w:r w:rsidRPr="6465F1F3" w:rsidR="00D254C7">
        <w:rPr>
          <w:rFonts w:ascii="Arial" w:hAnsi="Arial" w:cs="Arial"/>
          <w:color w:val="000000" w:themeColor="text1" w:themeTint="FF" w:themeShade="FF"/>
        </w:rPr>
        <w:t>Team</w:t>
      </w:r>
      <w:r w:rsidRPr="6465F1F3" w:rsidR="00877D1B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877D1B">
        <w:rPr>
          <w:rFonts w:ascii="Arial" w:hAnsi="Arial" w:cs="Arial"/>
          <w:color w:val="000000" w:themeColor="text1" w:themeTint="FF" w:themeShade="FF"/>
        </w:rPr>
        <w:t>(QIT)</w:t>
      </w:r>
      <w:r w:rsidRPr="6465F1F3" w:rsidR="00D254C7">
        <w:rPr>
          <w:rFonts w:ascii="Arial" w:hAnsi="Arial" w:cs="Arial"/>
          <w:color w:val="000000" w:themeColor="text1" w:themeTint="FF" w:themeShade="FF"/>
        </w:rPr>
        <w:t>,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irrespective of incident date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.  </w:t>
      </w:r>
    </w:p>
    <w:p w:rsidRPr="001F6B7E" w:rsidR="00543166" w:rsidP="6465F1F3" w:rsidRDefault="00543166" w14:paraId="6ECC879D" w14:textId="7426EA3B" w14:noSpellErr="1">
      <w:pPr>
        <w:pStyle w:val="ListParagraph"/>
        <w:numPr>
          <w:ilvl w:val="1"/>
          <w:numId w:val="2"/>
        </w:numPr>
        <w:spacing w:line="259" w:lineRule="auto"/>
        <w:ind w:left="567" w:hanging="567"/>
        <w:rPr>
          <w:rFonts w:ascii="Arial" w:hAnsi="Arial" w:cs="Arial"/>
          <w:color w:val="000000" w:themeColor="text1" w:themeTint="FF" w:themeShade="FF"/>
        </w:rPr>
      </w:pPr>
      <w:r w:rsidRPr="6465F1F3" w:rsidR="00543166">
        <w:rPr>
          <w:rFonts w:ascii="Arial" w:hAnsi="Arial" w:cs="Arial"/>
          <w:color w:val="000000" w:themeColor="text1" w:themeTint="FF" w:themeShade="FF"/>
        </w:rPr>
        <w:t xml:space="preserve">A quality alert (QA) is a concern or a systemic issue </w:t>
      </w:r>
      <w:r w:rsidRPr="6465F1F3" w:rsidR="00543166">
        <w:rPr>
          <w:rFonts w:ascii="Arial" w:hAnsi="Arial" w:cs="Arial"/>
          <w:color w:val="000000" w:themeColor="text1" w:themeTint="FF" w:themeShade="FF"/>
        </w:rPr>
        <w:t>generally affecting</w:t>
      </w:r>
      <w:r w:rsidRPr="6465F1F3" w:rsidR="00543166">
        <w:rPr>
          <w:rFonts w:ascii="Arial" w:hAnsi="Arial" w:cs="Arial"/>
          <w:color w:val="000000" w:themeColor="text1" w:themeTint="FF" w:themeShade="FF"/>
        </w:rPr>
        <w:t xml:space="preserve"> a service/pathway that affects individual/group of patients and affects the ability to deliver a high-quality service within SEL. </w:t>
      </w:r>
    </w:p>
    <w:p w:rsidR="00D254C7" w:rsidP="6465F1F3" w:rsidRDefault="00D254C7" w14:paraId="08EAEA46" w14:textId="77777777" w14:noSpellErr="1">
      <w:pPr>
        <w:rPr>
          <w:color w:val="000000" w:themeColor="text1" w:themeTint="FF" w:themeShade="FF"/>
        </w:rPr>
      </w:pPr>
    </w:p>
    <w:p w:rsidRPr="00477285" w:rsidR="00D254C7" w:rsidP="6465F1F3" w:rsidRDefault="002D3A8C" w14:paraId="372A3EF8" w14:textId="206780A9" w14:noSpellErr="1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2D3A8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465F1F3" w:rsidR="00D254C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Purpose </w:t>
      </w:r>
    </w:p>
    <w:p w:rsidRPr="00477285" w:rsidR="00D254C7" w:rsidP="6465F1F3" w:rsidRDefault="00D254C7" w14:paraId="6ABE8B21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Pr="00477285" w:rsidR="00D254C7" w:rsidP="6465F1F3" w:rsidRDefault="00D254C7" w14:paraId="2AEC656E" w14:textId="443E7AC2" w14:noSpellErr="1">
      <w:pPr>
        <w:pStyle w:val="ListParagraph"/>
        <w:numPr>
          <w:ilvl w:val="1"/>
          <w:numId w:val="2"/>
        </w:numPr>
        <w:spacing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The purpose of this </w:t>
      </w:r>
      <w:r w:rsidRPr="6465F1F3" w:rsidR="00D254C7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is to ensure that all members, staff and/or employees working for or on behalf of the </w:t>
      </w:r>
      <w:r w:rsidRPr="6465F1F3" w:rsidR="00D42972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are aware of their duties when reporting, investigating, or managing </w:t>
      </w:r>
      <w:r w:rsidRPr="6465F1F3" w:rsidR="00D254C7">
        <w:rPr>
          <w:rFonts w:ascii="Arial" w:hAnsi="Arial" w:cs="Arial"/>
          <w:color w:val="000000" w:themeColor="text1" w:themeTint="FF" w:themeShade="FF"/>
        </w:rPr>
        <w:t>QAs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in relation to commissioned providers. It applies to all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QAs </w:t>
      </w:r>
      <w:r w:rsidRPr="6465F1F3" w:rsidR="00D254C7">
        <w:rPr>
          <w:rFonts w:ascii="Arial" w:hAnsi="Arial" w:cs="Arial"/>
          <w:color w:val="000000" w:themeColor="text1" w:themeTint="FF" w:themeShade="FF"/>
        </w:rPr>
        <w:t>whether they involve commissioned services, patients, carers, visitors, staff, or members of the public and include property, premises, assets, information, or any other aspect of the organisations</w:t>
      </w:r>
      <w:r w:rsidRPr="6465F1F3" w:rsidR="00D254C7">
        <w:rPr>
          <w:rFonts w:ascii="Arial" w:hAnsi="Arial" w:cs="Arial"/>
          <w:color w:val="000000" w:themeColor="text1" w:themeTint="FF" w:themeShade="FF"/>
        </w:rPr>
        <w:t>’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business. It gives direction and organisational regulation so that managers are aware of their duties in the approval, management, and investigation of </w:t>
      </w:r>
      <w:r w:rsidRPr="6465F1F3" w:rsidR="00D254C7">
        <w:rPr>
          <w:rFonts w:ascii="Arial" w:hAnsi="Arial" w:cs="Arial"/>
          <w:color w:val="000000" w:themeColor="text1" w:themeTint="FF" w:themeShade="FF"/>
        </w:rPr>
        <w:t>alerts.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This </w:t>
      </w:r>
      <w:r w:rsidRPr="6465F1F3" w:rsidR="00D254C7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aims to: </w:t>
      </w:r>
    </w:p>
    <w:p w:rsidRPr="00477285" w:rsidR="00D254C7" w:rsidP="6465F1F3" w:rsidRDefault="00D254C7" w14:paraId="49FBEAC7" w14:textId="77777777" w14:noSpellErr="1">
      <w:pPr>
        <w:rPr>
          <w:color w:val="000000" w:themeColor="text1" w:themeTint="FF" w:themeShade="FF"/>
        </w:rPr>
      </w:pPr>
    </w:p>
    <w:p w:rsidRPr="00477285" w:rsidR="00D254C7" w:rsidP="6465F1F3" w:rsidRDefault="00D254C7" w14:paraId="606AA883" w14:textId="77777777" w14:noSpellErr="1">
      <w:pPr>
        <w:pStyle w:val="ListParagraph"/>
        <w:numPr>
          <w:ilvl w:val="0"/>
          <w:numId w:val="4"/>
        </w:numPr>
        <w:spacing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Ensure that all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QAs </w:t>
      </w:r>
      <w:r w:rsidRPr="6465F1F3" w:rsidR="00D254C7">
        <w:rPr>
          <w:rFonts w:ascii="Arial" w:hAnsi="Arial" w:cs="Arial"/>
          <w:color w:val="000000" w:themeColor="text1" w:themeTint="FF" w:themeShade="FF"/>
        </w:rPr>
        <w:t>are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logged, tracked, responded to, and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investigated in </w:t>
      </w:r>
      <w:r w:rsidRPr="6465F1F3" w:rsidR="00D254C7">
        <w:rPr>
          <w:rFonts w:ascii="Arial" w:hAnsi="Arial" w:cs="Arial"/>
          <w:color w:val="000000" w:themeColor="text1" w:themeTint="FF" w:themeShade="FF"/>
        </w:rPr>
        <w:t>a timely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, efficient, and effective way. </w:t>
      </w:r>
    </w:p>
    <w:p w:rsidRPr="00331FFB" w:rsidR="00D254C7" w:rsidP="6465F1F3" w:rsidRDefault="00D254C7" w14:paraId="76CF89B8" w14:textId="23D4CB1B" w14:noSpellErr="1">
      <w:pPr>
        <w:pStyle w:val="ListParagraph"/>
        <w:numPr>
          <w:ilvl w:val="0"/>
          <w:numId w:val="4"/>
        </w:numPr>
        <w:spacing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>Ensure compliance with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any associated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national reporting requirements</w:t>
      </w:r>
      <w:r w:rsidRPr="6465F1F3" w:rsidR="00D42972">
        <w:rPr>
          <w:rFonts w:ascii="Arial" w:hAnsi="Arial" w:cs="Arial"/>
          <w:color w:val="000000" w:themeColor="text1" w:themeTint="FF" w:themeShade="FF"/>
        </w:rPr>
        <w:t xml:space="preserve"> </w:t>
      </w:r>
      <w:hyperlink w:history="1" r:id="R508498d7069548b7">
        <w:r w:rsidRPr="6465F1F3" w:rsidR="00D42972">
          <w:rPr>
            <w:rFonts w:ascii="Arial" w:hAnsi="Arial" w:eastAsia="Calibri" w:cs="Arial" w:eastAsiaTheme="minorAscii"/>
            <w:color w:val="000000" w:themeColor="text1" w:themeTint="FF" w:themeShade="FF"/>
            <w:kern w:val="2"/>
            <w:u w:val="single"/>
            <w:lang w:eastAsia="en-US"/>
            <w14:ligatures w14:val="standardContextual"/>
          </w:rPr>
          <w:t>NHS England » Primary care information on the new national learn from patient safety events service</w:t>
        </w:r>
      </w:hyperlink>
      <w:r w:rsidRPr="6465F1F3" w:rsidR="00B87574">
        <w:rPr>
          <w:rFonts w:ascii="Arial" w:hAnsi="Arial" w:eastAsia="Calibri" w:cs="Arial" w:eastAsiaTheme="minorAscii"/>
          <w:color w:val="000000" w:themeColor="text1" w:themeTint="FF" w:themeShade="FF"/>
          <w:kern w:val="2"/>
          <w:lang w:eastAsia="en-US"/>
          <w14:ligatures w14:val="standardContextual"/>
        </w:rPr>
        <w:t xml:space="preserve"> </w:t>
      </w:r>
      <w:r w:rsidRPr="6465F1F3" w:rsidR="00B87574">
        <w:rPr>
          <w:rFonts w:ascii="Arial" w:hAnsi="Arial" w:eastAsia="Calibri" w:cs="Arial" w:eastAsiaTheme="minorAscii"/>
          <w:color w:val="000000" w:themeColor="text1" w:themeTint="FF" w:themeShade="FF"/>
          <w:kern w:val="2"/>
          <w:lang w:eastAsia="en-US"/>
          <w14:ligatures w14:val="standardContextual"/>
        </w:rPr>
        <w:t xml:space="preserve">and the ICB’s Patient Safety Strategy </w:t>
      </w:r>
      <w:hyperlink w:history="1" r:id="R5059155b76564c00">
        <w:r w:rsidRPr="6465F1F3" w:rsidR="00B87574">
          <w:rPr>
            <w:rFonts w:ascii="Arial" w:hAnsi="Arial" w:eastAsia="Calibri" w:cs="Arial" w:eastAsiaTheme="minorAscii"/>
            <w:color w:val="000000" w:themeColor="text1" w:themeTint="FF" w:themeShade="FF"/>
            <w:kern w:val="2"/>
            <w:u w:val="single"/>
            <w:lang w:eastAsia="en-US"/>
            <w14:ligatures w14:val="standardContextual"/>
          </w:rPr>
          <w:t>Patient Safety Workplan v1.pptx (sharepoint.com)</w:t>
        </w:r>
      </w:hyperlink>
      <w:r w:rsidRPr="6465F1F3" w:rsidR="00A315B2">
        <w:rPr>
          <w:rFonts w:ascii="Arial" w:hAnsi="Arial" w:eastAsia="Calibri" w:cs="Arial" w:eastAsiaTheme="minorAscii"/>
          <w:color w:val="000000" w:themeColor="text1" w:themeTint="FF" w:themeShade="FF"/>
          <w:kern w:val="2"/>
          <w:lang w:eastAsia="en-US"/>
          <w14:ligatures w14:val="standardContextual"/>
        </w:rPr>
        <w:t xml:space="preserve">. </w:t>
      </w:r>
    </w:p>
    <w:p w:rsidRPr="009E566A" w:rsidR="00D254C7" w:rsidP="6465F1F3" w:rsidRDefault="00D254C7" w14:paraId="12E359C6" w14:textId="5956F302" w14:noSpellErr="1">
      <w:pPr>
        <w:pStyle w:val="ListParagraph"/>
        <w:numPr>
          <w:ilvl w:val="0"/>
          <w:numId w:val="4"/>
        </w:numPr>
        <w:spacing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A reasonable, proportionate, and consistent approach across the six boroughs within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SEL </w:t>
      </w:r>
      <w:r w:rsidRPr="6465F1F3" w:rsidR="00A315B2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>.</w:t>
      </w:r>
    </w:p>
    <w:p w:rsidRPr="00477285" w:rsidR="00D254C7" w:rsidP="6465F1F3" w:rsidRDefault="00D254C7" w14:paraId="36F7B335" w14:textId="50B2BBF7" w14:noSpellErr="1">
      <w:pPr>
        <w:pStyle w:val="ListParagraph"/>
        <w:numPr>
          <w:ilvl w:val="0"/>
          <w:numId w:val="4"/>
        </w:numPr>
        <w:spacing w:after="160"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Ensure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SEL </w:t>
      </w:r>
      <w:r w:rsidRPr="6465F1F3" w:rsidR="00A315B2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has an open and honest approach to provider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QA </w:t>
      </w:r>
      <w:r w:rsidRPr="6465F1F3" w:rsidR="00D254C7">
        <w:rPr>
          <w:rFonts w:ascii="Arial" w:hAnsi="Arial" w:cs="Arial"/>
          <w:color w:val="000000" w:themeColor="text1" w:themeTint="FF" w:themeShade="FF"/>
        </w:rPr>
        <w:t>r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eporting and </w:t>
      </w:r>
      <w:r w:rsidRPr="6465F1F3" w:rsidR="00D254C7">
        <w:rPr>
          <w:rFonts w:ascii="Arial" w:hAnsi="Arial" w:cs="Arial"/>
          <w:color w:val="000000" w:themeColor="text1" w:themeTint="FF" w:themeShade="FF"/>
        </w:rPr>
        <w:t>m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anagement for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QAs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affecting patients/relatives/carers, and a commitment to </w:t>
      </w:r>
      <w:r w:rsidRPr="6465F1F3" w:rsidR="00D254C7">
        <w:rPr>
          <w:rFonts w:ascii="Arial" w:hAnsi="Arial" w:cs="Arial"/>
          <w:color w:val="000000" w:themeColor="text1" w:themeTint="FF" w:themeShade="FF"/>
        </w:rPr>
        <w:t>identifying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themes and </w:t>
      </w:r>
      <w:r w:rsidRPr="6465F1F3" w:rsidR="00D254C7">
        <w:rPr>
          <w:rFonts w:ascii="Arial" w:hAnsi="Arial" w:cs="Arial"/>
          <w:color w:val="000000" w:themeColor="text1" w:themeTint="FF" w:themeShade="FF"/>
        </w:rPr>
        <w:t>sharing lessons learned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from across the ICS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. </w:t>
      </w:r>
    </w:p>
    <w:p w:rsidR="00D254C7" w:rsidP="6465F1F3" w:rsidRDefault="00D254C7" w14:paraId="57A2CD85" w14:textId="102598BE" w14:noSpellErr="1">
      <w:pPr>
        <w:pStyle w:val="ListParagraph"/>
        <w:numPr>
          <w:ilvl w:val="0"/>
          <w:numId w:val="4"/>
        </w:numPr>
        <w:spacing w:after="160"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>Ensure lessons learn</w:t>
      </w:r>
      <w:r w:rsidRPr="6465F1F3" w:rsidR="00D254C7">
        <w:rPr>
          <w:rFonts w:ascii="Arial" w:hAnsi="Arial" w:cs="Arial"/>
          <w:color w:val="000000" w:themeColor="text1" w:themeTint="FF" w:themeShade="FF"/>
        </w:rPr>
        <w:t>t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from </w:t>
      </w:r>
      <w:r w:rsidRPr="6465F1F3" w:rsidR="00D254C7">
        <w:rPr>
          <w:rFonts w:ascii="Arial" w:hAnsi="Arial" w:cs="Arial"/>
          <w:color w:val="000000" w:themeColor="text1" w:themeTint="FF" w:themeShade="FF"/>
        </w:rPr>
        <w:t>QA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 and trends are shared across 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SEL </w:t>
      </w:r>
      <w:r w:rsidRPr="6465F1F3" w:rsidR="00A315B2">
        <w:rPr>
          <w:rFonts w:ascii="Arial" w:hAnsi="Arial" w:cs="Arial"/>
          <w:color w:val="000000" w:themeColor="text1" w:themeTint="FF" w:themeShade="FF"/>
        </w:rPr>
        <w:t>ICB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and ICS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and fully acted upon by commissioned providers</w:t>
      </w:r>
      <w:r w:rsidRPr="6465F1F3" w:rsidR="00D254C7">
        <w:rPr>
          <w:rFonts w:ascii="Arial" w:hAnsi="Arial" w:cs="Arial"/>
          <w:color w:val="000000" w:themeColor="text1" w:themeTint="FF" w:themeShade="FF"/>
        </w:rPr>
        <w:t>.</w:t>
      </w:r>
      <w:r w:rsidRPr="6465F1F3" w:rsidR="00A315B2">
        <w:rPr>
          <w:rFonts w:ascii="Arial" w:hAnsi="Arial" w:cs="Arial"/>
          <w:color w:val="000000" w:themeColor="text1" w:themeTint="FF" w:themeShade="FF"/>
        </w:rPr>
        <w:t xml:space="preserve">  </w:t>
      </w:r>
    </w:p>
    <w:p w:rsidR="00D254C7" w:rsidP="6465F1F3" w:rsidRDefault="00D254C7" w14:paraId="1BB35C48" w14:textId="4E6A9855" w14:noSpellErr="1">
      <w:pPr>
        <w:pStyle w:val="ListParagraph"/>
        <w:numPr>
          <w:ilvl w:val="0"/>
          <w:numId w:val="4"/>
        </w:numPr>
        <w:spacing w:after="160"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Enhance learning and development across the ICS through the application of </w:t>
      </w:r>
      <w:r w:rsidRPr="6465F1F3" w:rsidR="00D254C7">
        <w:rPr>
          <w:rFonts w:ascii="Arial" w:hAnsi="Arial" w:cs="Arial"/>
          <w:color w:val="000000" w:themeColor="text1" w:themeTint="FF" w:themeShade="FF"/>
        </w:rPr>
        <w:t>good quality</w:t>
      </w:r>
      <w:r w:rsidRPr="6465F1F3" w:rsidR="00D254C7">
        <w:rPr>
          <w:rFonts w:ascii="Arial" w:hAnsi="Arial" w:cs="Arial"/>
          <w:color w:val="000000" w:themeColor="text1" w:themeTint="FF" w:themeShade="FF"/>
        </w:rPr>
        <w:t xml:space="preserve"> and performance management principles</w:t>
      </w:r>
      <w:r w:rsidRPr="6465F1F3" w:rsidR="002413DC">
        <w:rPr>
          <w:rFonts w:ascii="Arial" w:hAnsi="Arial" w:cs="Arial"/>
          <w:color w:val="000000" w:themeColor="text1" w:themeTint="FF" w:themeShade="FF"/>
        </w:rPr>
        <w:t xml:space="preserve">. </w:t>
      </w:r>
    </w:p>
    <w:p w:rsidR="00710AD8" w:rsidP="6465F1F3" w:rsidRDefault="00710AD8" w14:paraId="0672C9E3" w14:textId="77777777" w14:noSpellErr="1">
      <w:pPr>
        <w:jc w:val="both"/>
        <w:rPr>
          <w:color w:val="000000" w:themeColor="text1" w:themeTint="FF" w:themeShade="FF"/>
        </w:rPr>
      </w:pPr>
    </w:p>
    <w:p w:rsidRPr="00477285" w:rsidR="00710AD8" w:rsidP="6465F1F3" w:rsidRDefault="00710AD8" w14:paraId="7CB7AC74" w14:textId="77777777" w14:noSpellErr="1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>Responsibilities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477285" w:rsidR="00710AD8" w:rsidP="6465F1F3" w:rsidRDefault="00710AD8" w14:paraId="2D5FD7AD" w14:textId="77777777" w14:noSpellErr="1">
      <w:pPr>
        <w:rPr>
          <w:color w:val="000000" w:themeColor="text1" w:themeTint="FF" w:themeShade="FF"/>
        </w:rPr>
      </w:pPr>
    </w:p>
    <w:p w:rsidRPr="00477285" w:rsidR="00710AD8" w:rsidP="6465F1F3" w:rsidRDefault="00AF5D47" w14:paraId="50E1D34D" w14:textId="7FDE1704" w14:noSpellErr="1">
      <w:pPr>
        <w:pStyle w:val="ListParagraph"/>
        <w:numPr>
          <w:ilvl w:val="1"/>
          <w:numId w:val="2"/>
        </w:numPr>
        <w:spacing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AF5D4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The </w:t>
      </w:r>
      <w:r w:rsidRPr="6465F1F3" w:rsidR="005C51E8">
        <w:rPr>
          <w:rFonts w:ascii="Arial" w:hAnsi="Arial" w:cs="Arial"/>
          <w:b w:val="1"/>
          <w:bCs w:val="1"/>
          <w:color w:val="000000" w:themeColor="text1" w:themeTint="FF" w:themeShade="FF"/>
        </w:rPr>
        <w:t>Chief Executive</w:t>
      </w: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Officer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-The </w:t>
      </w:r>
      <w:r w:rsidRPr="6465F1F3" w:rsidR="005C51E8">
        <w:rPr>
          <w:rFonts w:ascii="Arial" w:hAnsi="Arial" w:cs="Arial"/>
          <w:color w:val="000000" w:themeColor="text1" w:themeTint="FF" w:themeShade="FF"/>
        </w:rPr>
        <w:t>Chief Executive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Officer has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responsibility for ensuring SEL </w:t>
      </w:r>
      <w:r w:rsidRPr="6465F1F3" w:rsidR="005C51E8">
        <w:rPr>
          <w:rFonts w:ascii="Arial" w:hAnsi="Arial" w:cs="Arial"/>
          <w:color w:val="000000" w:themeColor="text1" w:themeTint="FF" w:themeShade="FF"/>
        </w:rPr>
        <w:t>ICB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has in place robust mechanisms to fulfil its duty of care in reducing harm to patients and ensuring patient safety.</w:t>
      </w:r>
    </w:p>
    <w:p w:rsidRPr="004C02B1" w:rsidR="00710AD8" w:rsidP="6465F1F3" w:rsidRDefault="00710AD8" w14:paraId="02740772" w14:textId="7D208813" w14:noSpellErr="1">
      <w:pPr>
        <w:pStyle w:val="ListParagraph"/>
        <w:numPr>
          <w:ilvl w:val="1"/>
          <w:numId w:val="2"/>
        </w:numPr>
        <w:spacing w:after="160"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The Chief Nurse -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The Chief Nurse has responsibility for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ensuring SEL </w:t>
      </w:r>
      <w:r w:rsidRPr="6465F1F3" w:rsidR="005C51E8">
        <w:rPr>
          <w:rFonts w:ascii="Arial" w:hAnsi="Arial" w:cs="Arial"/>
          <w:color w:val="000000" w:themeColor="text1" w:themeTint="FF" w:themeShade="FF"/>
        </w:rPr>
        <w:t>ICB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has in place systems and processes for </w:t>
      </w:r>
      <w:r w:rsidRPr="6465F1F3" w:rsidR="00710AD8">
        <w:rPr>
          <w:rFonts w:ascii="Arial" w:hAnsi="Arial" w:cs="Arial"/>
          <w:color w:val="000000" w:themeColor="text1" w:themeTint="FF" w:themeShade="FF"/>
        </w:rPr>
        <w:t>monitoring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the QA process and for continuous improvement from lessons learnt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and where </w:t>
      </w:r>
      <w:r w:rsidRPr="6465F1F3" w:rsidR="00710AD8">
        <w:rPr>
          <w:rFonts w:ascii="Arial" w:hAnsi="Arial" w:cs="Arial"/>
          <w:color w:val="000000" w:themeColor="text1" w:themeTint="FF" w:themeShade="FF"/>
        </w:rPr>
        <w:t>appropriate for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commissioning </w:t>
      </w:r>
      <w:r w:rsidRPr="6465F1F3" w:rsidR="00710AD8">
        <w:rPr>
          <w:rFonts w:ascii="Arial" w:hAnsi="Arial" w:cs="Arial"/>
          <w:color w:val="000000" w:themeColor="text1" w:themeTint="FF" w:themeShade="FF"/>
        </w:rPr>
        <w:t>QA themes and learning from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investigations</w:t>
      </w:r>
      <w:r w:rsidRPr="6465F1F3" w:rsidR="00710AD8">
        <w:rPr>
          <w:rFonts w:ascii="Arial" w:hAnsi="Arial" w:cs="Arial"/>
          <w:color w:val="000000" w:themeColor="text1" w:themeTint="FF" w:themeShade="FF"/>
        </w:rPr>
        <w:t>.</w:t>
      </w:r>
    </w:p>
    <w:p w:rsidR="00710AD8" w:rsidP="6465F1F3" w:rsidRDefault="00710AD8" w14:paraId="384E450E" w14:textId="1DD09BFD" w14:noSpellErr="1">
      <w:pPr>
        <w:pStyle w:val="ListParagraph"/>
        <w:numPr>
          <w:ilvl w:val="1"/>
          <w:numId w:val="2"/>
        </w:numPr>
        <w:spacing w:after="160"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The Quality and </w:t>
      </w:r>
      <w:r w:rsidRPr="6465F1F3" w:rsidR="005C51E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Performance </w:t>
      </w: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>Committee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- The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Quality and </w:t>
      </w:r>
      <w:r w:rsidRPr="6465F1F3" w:rsidR="005C51E8">
        <w:rPr>
          <w:rFonts w:ascii="Arial" w:hAnsi="Arial" w:cs="Arial"/>
          <w:color w:val="000000" w:themeColor="text1" w:themeTint="FF" w:themeShade="FF"/>
        </w:rPr>
        <w:t>Performance C</w:t>
      </w:r>
      <w:r w:rsidRPr="6465F1F3" w:rsidR="00710AD8">
        <w:rPr>
          <w:rFonts w:ascii="Arial" w:hAnsi="Arial" w:cs="Arial"/>
          <w:color w:val="000000" w:themeColor="text1" w:themeTint="FF" w:themeShade="FF"/>
        </w:rPr>
        <w:t>ommittee</w:t>
      </w:r>
      <w:r w:rsidRPr="6465F1F3" w:rsidR="005C51E8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5C51E8">
        <w:rPr>
          <w:rFonts w:ascii="Arial" w:hAnsi="Arial" w:cs="Arial"/>
          <w:color w:val="000000" w:themeColor="text1" w:themeTint="FF" w:themeShade="FF"/>
        </w:rPr>
        <w:t>(QPC)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has responsibility for </w:t>
      </w:r>
      <w:r w:rsidRPr="6465F1F3" w:rsidR="00710AD8">
        <w:rPr>
          <w:rFonts w:ascii="Arial" w:hAnsi="Arial" w:cs="Arial"/>
          <w:color w:val="000000" w:themeColor="text1" w:themeTint="FF" w:themeShade="FF"/>
        </w:rPr>
        <w:t>providing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assurance to the </w:t>
      </w:r>
      <w:r w:rsidRPr="6465F1F3" w:rsidR="00E106F3">
        <w:rPr>
          <w:rFonts w:ascii="Arial" w:hAnsi="Arial" w:cs="Arial"/>
          <w:color w:val="000000" w:themeColor="text1" w:themeTint="FF" w:themeShade="FF"/>
        </w:rPr>
        <w:t>ICB Board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that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organisational learning </w:t>
      </w:r>
      <w:r w:rsidRPr="6465F1F3" w:rsidR="00710AD8">
        <w:rPr>
          <w:rFonts w:ascii="Arial" w:hAnsi="Arial" w:cs="Arial"/>
          <w:color w:val="000000" w:themeColor="text1" w:themeTint="FF" w:themeShade="FF"/>
        </w:rPr>
        <w:t>has occurred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477285" w:rsidR="007471BB" w:rsidP="6465F1F3" w:rsidRDefault="007471BB" w14:paraId="78F0857D" w14:textId="2DBEE13C">
      <w:pPr>
        <w:pStyle w:val="ListParagraph"/>
        <w:numPr>
          <w:ilvl w:val="1"/>
          <w:numId w:val="2"/>
        </w:numPr>
        <w:spacing w:after="160"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7471BB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The System Quality Group </w:t>
      </w:r>
      <w:r w:rsidRPr="6465F1F3" w:rsidR="007471BB">
        <w:rPr>
          <w:rFonts w:ascii="Arial" w:hAnsi="Arial" w:cs="Arial"/>
          <w:color w:val="000000" w:themeColor="text1" w:themeTint="FF" w:themeShade="FF"/>
        </w:rPr>
        <w:t xml:space="preserve">– The System Quality Group (SQG) has responsibility for </w:t>
      </w:r>
      <w:r w:rsidRPr="6465F1F3" w:rsidR="007471BB">
        <w:rPr>
          <w:rFonts w:ascii="Arial" w:hAnsi="Arial" w:cs="Arial"/>
          <w:color w:val="000000" w:themeColor="text1" w:themeTint="FF" w:themeShade="FF"/>
        </w:rPr>
        <w:t>identifying</w:t>
      </w:r>
      <w:r w:rsidRPr="6465F1F3" w:rsidR="007471BB">
        <w:rPr>
          <w:rFonts w:ascii="Arial" w:hAnsi="Arial" w:cs="Arial"/>
          <w:color w:val="000000" w:themeColor="text1" w:themeTint="FF" w:themeShade="FF"/>
        </w:rPr>
        <w:t xml:space="preserve"> actions from key themes</w:t>
      </w:r>
      <w:r w:rsidRPr="6465F1F3" w:rsidR="00D120FD">
        <w:rPr>
          <w:rFonts w:ascii="Arial" w:hAnsi="Arial" w:cs="Arial"/>
          <w:color w:val="000000" w:themeColor="text1" w:themeTint="FF" w:themeShade="FF"/>
        </w:rPr>
        <w:t xml:space="preserve"> that </w:t>
      </w:r>
      <w:r w:rsidRPr="6465F1F3" w:rsidR="00D120FD">
        <w:rPr>
          <w:rFonts w:ascii="Arial" w:hAnsi="Arial" w:cs="Arial"/>
          <w:color w:val="000000" w:themeColor="text1" w:themeTint="FF" w:themeShade="FF"/>
        </w:rPr>
        <w:t>identify</w:t>
      </w:r>
      <w:r w:rsidRPr="6465F1F3" w:rsidR="00D120FD">
        <w:rPr>
          <w:rFonts w:ascii="Arial" w:hAnsi="Arial" w:cs="Arial"/>
          <w:color w:val="000000" w:themeColor="text1" w:themeTint="FF" w:themeShade="FF"/>
        </w:rPr>
        <w:t xml:space="preserve"> opportunities for improvement and concerns/risks to quality and </w:t>
      </w:r>
      <w:r w:rsidRPr="6465F1F3" w:rsidR="00D120FD">
        <w:rPr>
          <w:rFonts w:ascii="Arial" w:hAnsi="Arial" w:cs="Arial"/>
          <w:color w:val="000000" w:themeColor="text1" w:themeTint="FF" w:themeShade="FF"/>
        </w:rPr>
        <w:t>safeguarding and</w:t>
      </w:r>
      <w:r w:rsidRPr="6465F1F3" w:rsidR="00D120FD">
        <w:rPr>
          <w:rFonts w:ascii="Arial" w:hAnsi="Arial" w:cs="Arial"/>
          <w:color w:val="000000" w:themeColor="text1" w:themeTint="FF" w:themeShade="FF"/>
        </w:rPr>
        <w:t xml:space="preserve"> develop system responses to enable ongoing improvement in the quality of care and services across the ICS</w:t>
      </w:r>
      <w:r w:rsidRPr="6465F1F3" w:rsidR="007471BB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4A7E6B" w:rsidR="00710AD8" w:rsidP="6465F1F3" w:rsidRDefault="00710AD8" w14:paraId="2DBBFD1C" w14:textId="3DB5CC0B" w14:noSpellErr="1">
      <w:pPr>
        <w:pStyle w:val="ListParagraph"/>
        <w:numPr>
          <w:ilvl w:val="1"/>
          <w:numId w:val="2"/>
        </w:numPr>
        <w:spacing w:after="160"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>The Director of Quality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- The Director of Quality has responsibility for ensuring arrangements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are in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place for managing the process of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QAs and that lessons are learnt and shared across SEL </w:t>
      </w:r>
      <w:r w:rsidRPr="6465F1F3" w:rsidR="005C51E8">
        <w:rPr>
          <w:rFonts w:ascii="Arial" w:hAnsi="Arial" w:cs="Arial"/>
          <w:color w:val="000000" w:themeColor="text1" w:themeTint="FF" w:themeShade="FF"/>
        </w:rPr>
        <w:t>ICB</w:t>
      </w:r>
      <w:r w:rsidRPr="6465F1F3" w:rsidR="00710AD8">
        <w:rPr>
          <w:rFonts w:ascii="Arial" w:hAnsi="Arial" w:cs="Arial"/>
          <w:color w:val="000000" w:themeColor="text1" w:themeTint="FF" w:themeShade="FF"/>
        </w:rPr>
        <w:t>.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E106F3" w:rsidR="00710AD8" w:rsidP="6465F1F3" w:rsidRDefault="004A7E6B" w14:paraId="1FE9EF8B" w14:textId="6D917BB8" w14:noSpellErr="1">
      <w:pPr>
        <w:pStyle w:val="ListParagraph"/>
        <w:numPr>
          <w:ilvl w:val="1"/>
          <w:numId w:val="2"/>
        </w:numPr>
        <w:spacing w:after="160"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4A7E6B">
        <w:rPr>
          <w:rFonts w:ascii="Arial" w:hAnsi="Arial" w:cs="Arial"/>
          <w:b w:val="1"/>
          <w:bCs w:val="1"/>
          <w:color w:val="000000" w:themeColor="text1" w:themeTint="FF" w:themeShade="FF"/>
        </w:rPr>
        <w:t>Clinical and Care Professional Leader</w:t>
      </w:r>
      <w:r w:rsidRPr="6465F1F3" w:rsidR="005C51E8">
        <w:rPr>
          <w:rFonts w:ascii="Arial" w:hAnsi="Arial" w:cs="Arial"/>
          <w:b w:val="1"/>
          <w:bCs w:val="1"/>
          <w:color w:val="000000" w:themeColor="text1" w:themeTint="FF" w:themeShade="FF"/>
        </w:rPr>
        <w:t>s</w:t>
      </w:r>
      <w:r w:rsidRPr="6465F1F3" w:rsidR="004A7E6B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(Quality) </w:t>
      </w:r>
      <w:r w:rsidRPr="6465F1F3" w:rsidR="004A7E6B">
        <w:rPr>
          <w:rFonts w:ascii="Arial" w:hAnsi="Arial" w:cs="Arial"/>
          <w:color w:val="000000" w:themeColor="text1" w:themeTint="FF" w:themeShade="FF"/>
        </w:rPr>
        <w:t>– The Clinical and Care Professional Leader</w:t>
      </w:r>
      <w:r w:rsidRPr="6465F1F3" w:rsidR="005C51E8">
        <w:rPr>
          <w:rFonts w:ascii="Arial" w:hAnsi="Arial" w:cs="Arial"/>
          <w:color w:val="000000" w:themeColor="text1" w:themeTint="FF" w:themeShade="FF"/>
        </w:rPr>
        <w:t>s</w:t>
      </w:r>
      <w:r w:rsidRPr="6465F1F3" w:rsidR="004A7E6B">
        <w:rPr>
          <w:rFonts w:ascii="Arial" w:hAnsi="Arial" w:cs="Arial"/>
          <w:color w:val="000000" w:themeColor="text1" w:themeTint="FF" w:themeShade="FF"/>
        </w:rPr>
        <w:t xml:space="preserve"> [CCPL</w:t>
      </w:r>
      <w:r w:rsidRPr="6465F1F3" w:rsidR="0029076D">
        <w:rPr>
          <w:rFonts w:ascii="Arial" w:hAnsi="Arial" w:cs="Arial"/>
          <w:color w:val="000000" w:themeColor="text1" w:themeTint="FF" w:themeShade="FF"/>
        </w:rPr>
        <w:t>s</w:t>
      </w:r>
      <w:r w:rsidRPr="6465F1F3" w:rsidR="004A7E6B">
        <w:rPr>
          <w:rFonts w:ascii="Arial" w:hAnsi="Arial" w:cs="Arial"/>
          <w:color w:val="000000" w:themeColor="text1" w:themeTint="FF" w:themeShade="FF"/>
        </w:rPr>
        <w:t xml:space="preserve">] </w:t>
      </w:r>
      <w:r w:rsidRPr="6465F1F3" w:rsidR="004315C0">
        <w:rPr>
          <w:rFonts w:ascii="Arial" w:hAnsi="Arial" w:cs="Arial"/>
          <w:color w:val="000000" w:themeColor="text1" w:themeTint="FF" w:themeShade="FF"/>
        </w:rPr>
        <w:t>support</w:t>
      </w:r>
      <w:r w:rsidRPr="6465F1F3" w:rsidR="005C51E8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F85E56">
        <w:rPr>
          <w:rFonts w:ascii="Arial" w:hAnsi="Arial" w:cs="Arial"/>
          <w:color w:val="000000" w:themeColor="text1" w:themeTint="FF" w:themeShade="FF"/>
        </w:rPr>
        <w:t>working together across organisations and professions to improve</w:t>
      </w:r>
      <w:r w:rsidRPr="6465F1F3" w:rsidR="002C1FB0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F85E56">
        <w:rPr>
          <w:rFonts w:ascii="Arial" w:hAnsi="Arial" w:cs="Arial"/>
          <w:color w:val="000000" w:themeColor="text1" w:themeTint="FF" w:themeShade="FF"/>
        </w:rPr>
        <w:t xml:space="preserve">health </w:t>
      </w:r>
      <w:r w:rsidRPr="6465F1F3" w:rsidR="002C1FB0">
        <w:rPr>
          <w:rFonts w:ascii="Arial" w:hAnsi="Arial" w:cs="Arial"/>
          <w:color w:val="000000" w:themeColor="text1" w:themeTint="FF" w:themeShade="FF"/>
        </w:rPr>
        <w:t>inequalities a</w:t>
      </w:r>
      <w:r w:rsidRPr="6465F1F3" w:rsidR="00F85E56">
        <w:rPr>
          <w:rFonts w:ascii="Arial" w:hAnsi="Arial" w:cs="Arial"/>
          <w:color w:val="000000" w:themeColor="text1" w:themeTint="FF" w:themeShade="FF"/>
        </w:rPr>
        <w:t>nd patient safety in their area</w:t>
      </w:r>
      <w:r w:rsidRPr="6465F1F3" w:rsidR="00F85E56">
        <w:rPr>
          <w:rFonts w:ascii="Arial" w:hAnsi="Arial" w:cs="Arial"/>
          <w:color w:val="000000" w:themeColor="text1" w:themeTint="FF" w:themeShade="FF"/>
        </w:rPr>
        <w:t xml:space="preserve">. </w:t>
      </w:r>
      <w:r w:rsidRPr="6465F1F3" w:rsidR="00E106F3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E106F3">
        <w:rPr>
          <w:rFonts w:ascii="Arial" w:hAnsi="Arial" w:cs="Arial"/>
          <w:color w:val="000000" w:themeColor="text1" w:themeTint="FF" w:themeShade="FF"/>
        </w:rPr>
        <w:t xml:space="preserve">They also 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have responsibility for the oversight of the associated themes of </w:t>
      </w:r>
      <w:r w:rsidRPr="6465F1F3" w:rsidR="00E106F3">
        <w:rPr>
          <w:rFonts w:ascii="Arial" w:hAnsi="Arial" w:cs="Arial"/>
          <w:color w:val="000000" w:themeColor="text1" w:themeTint="FF" w:themeShade="FF"/>
        </w:rPr>
        <w:t>quality and patient safety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and shared learning.</w:t>
      </w:r>
      <w:r w:rsidRPr="6465F1F3" w:rsidR="0016371B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FD66DD" w:rsidR="00710AD8" w:rsidP="6465F1F3" w:rsidRDefault="00710AD8" w14:paraId="6C976F33" w14:textId="15C242A0" w14:noSpellErr="1">
      <w:pPr>
        <w:pStyle w:val="ListParagraph"/>
        <w:numPr>
          <w:ilvl w:val="1"/>
          <w:numId w:val="2"/>
        </w:numPr>
        <w:spacing w:line="259" w:lineRule="auto"/>
        <w:ind w:left="709" w:hanging="709"/>
        <w:rPr>
          <w:rFonts w:ascii="Arial" w:hAnsi="Arial" w:cs="Arial"/>
          <w:color w:val="000000" w:themeColor="text1" w:themeTint="FF" w:themeShade="FF"/>
        </w:rPr>
      </w:pP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>The Quality</w:t>
      </w:r>
      <w:r w:rsidRPr="6465F1F3" w:rsidR="005C51E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Information</w:t>
      </w:r>
      <w:r w:rsidRPr="6465F1F3" w:rsidR="00710AD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Team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- The Quality</w:t>
      </w:r>
      <w:r w:rsidRPr="6465F1F3" w:rsidR="005C51E8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AF5D47">
        <w:rPr>
          <w:rFonts w:ascii="Arial" w:hAnsi="Arial" w:cs="Arial"/>
          <w:color w:val="000000" w:themeColor="text1" w:themeTint="FF" w:themeShade="FF"/>
        </w:rPr>
        <w:t>Information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Team</w:t>
      </w:r>
      <w:r w:rsidRPr="6465F1F3" w:rsidR="0016371B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16371B">
        <w:rPr>
          <w:rFonts w:ascii="Arial" w:hAnsi="Arial" w:cs="Arial"/>
          <w:color w:val="000000" w:themeColor="text1" w:themeTint="FF" w:themeShade="FF"/>
        </w:rPr>
        <w:t>(QIT)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has responsibility for managing the process that ensures that all commissioned providers across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SEL </w:t>
      </w:r>
      <w:r w:rsidRPr="6465F1F3" w:rsidR="00AF5D47">
        <w:rPr>
          <w:rFonts w:ascii="Arial" w:hAnsi="Arial" w:cs="Arial"/>
          <w:color w:val="000000" w:themeColor="text1" w:themeTint="FF" w:themeShade="FF"/>
        </w:rPr>
        <w:t>ICB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are reporting, investigating, and acting on QAs in line with this </w:t>
      </w:r>
      <w:r w:rsidRPr="6465F1F3" w:rsidR="00710AD8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710AD8">
        <w:rPr>
          <w:rFonts w:ascii="Arial" w:hAnsi="Arial" w:cs="Arial"/>
          <w:color w:val="000000" w:themeColor="text1" w:themeTint="FF" w:themeShade="FF"/>
        </w:rPr>
        <w:t>. These arrangements include the identification, recording, tracking, acknowledgement, monitoring and learning from the implementation of any action</w:t>
      </w:r>
      <w:r w:rsidRPr="6465F1F3" w:rsidR="00710AD8">
        <w:rPr>
          <w:rFonts w:ascii="Arial" w:hAnsi="Arial" w:cs="Arial"/>
          <w:color w:val="000000" w:themeColor="text1" w:themeTint="FF" w:themeShade="FF"/>
        </w:rPr>
        <w:t>s</w:t>
      </w:r>
      <w:r w:rsidRPr="6465F1F3" w:rsidR="00710AD8">
        <w:rPr>
          <w:rFonts w:ascii="Arial" w:hAnsi="Arial" w:cs="Arial"/>
          <w:color w:val="000000" w:themeColor="text1" w:themeTint="FF" w:themeShade="FF"/>
        </w:rPr>
        <w:t xml:space="preserve"> that arise from </w:t>
      </w:r>
      <w:r w:rsidRPr="6465F1F3" w:rsidR="00710AD8">
        <w:rPr>
          <w:rFonts w:ascii="Arial" w:hAnsi="Arial" w:cs="Arial"/>
          <w:color w:val="000000" w:themeColor="text1" w:themeTint="FF" w:themeShade="FF"/>
        </w:rPr>
        <w:t>QAs.</w:t>
      </w:r>
    </w:p>
    <w:p w:rsidR="00710AD8" w:rsidP="002D3A8C" w:rsidRDefault="00710AD8" w14:paraId="281AEBB9" w14:textId="77777777">
      <w:pPr>
        <w:rPr>
          <w:b/>
          <w:bCs/>
        </w:rPr>
      </w:pPr>
    </w:p>
    <w:p w:rsidRPr="00B711F3" w:rsidR="008A4142" w:rsidP="6465F1F3" w:rsidRDefault="008A4142" w14:paraId="6B8D6797" w14:textId="77777777" w14:noSpellErr="1">
      <w:pPr>
        <w:pStyle w:val="Heading1"/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</w:pPr>
      <w:bookmarkStart w:name="_Toc58570867" w:id="0"/>
      <w:r w:rsidRPr="6465F1F3" w:rsidR="008A414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5. Aims</w:t>
      </w:r>
      <w:bookmarkEnd w:id="0"/>
      <w:r w:rsidRPr="6465F1F3" w:rsidR="008A414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8A4142" w:rsidP="6465F1F3" w:rsidRDefault="008A4142" w14:paraId="2ACBFF06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="008A4142" w:rsidP="6465F1F3" w:rsidRDefault="008A4142" w14:paraId="6F0343B2" w14:textId="2DB765A5" w14:noSpellErr="1">
      <w:pPr>
        <w:jc w:val="both"/>
        <w:rPr>
          <w:color w:val="000000" w:themeColor="text1" w:themeTint="FF" w:themeShade="FF"/>
          <w:shd w:val="clear" w:color="auto" w:fill="FFFFFF"/>
        </w:rPr>
      </w:pPr>
      <w:r w:rsidRPr="6465F1F3" w:rsidR="008A4142">
        <w:rPr>
          <w:color w:val="000000" w:themeColor="text1" w:themeTint="FF" w:themeShade="FF"/>
          <w:shd w:val="clear" w:color="auto" w:fill="FFFFFF"/>
        </w:rPr>
        <w:t>Th</w:t>
      </w:r>
      <w:r w:rsidRPr="6465F1F3" w:rsidR="00666B37">
        <w:rPr>
          <w:color w:val="000000" w:themeColor="text1" w:themeTint="FF" w:themeShade="FF"/>
          <w:shd w:val="clear" w:color="auto" w:fill="FFFFFF"/>
        </w:rPr>
        <w:t>e</w:t>
      </w:r>
      <w:r w:rsidRPr="6465F1F3" w:rsidR="008A4142">
        <w:rPr>
          <w:color w:val="000000" w:themeColor="text1" w:themeTint="FF" w:themeShade="FF"/>
          <w:shd w:val="clear" w:color="auto" w:fill="FFFFFF"/>
        </w:rPr>
        <w:t xml:space="preserve"> aims of this procedure outline how QAs</w:t>
      </w:r>
      <w:r w:rsidRPr="6465F1F3" w:rsidR="008A4142">
        <w:rPr>
          <w:color w:val="000000" w:themeColor="text1" w:themeTint="FF" w:themeShade="FF"/>
          <w:shd w:val="clear" w:color="auto" w:fill="FFFFFF"/>
        </w:rPr>
        <w:t xml:space="preserve"> </w:t>
      </w:r>
      <w:r w:rsidRPr="6465F1F3" w:rsidR="008A4142">
        <w:rPr>
          <w:color w:val="000000" w:themeColor="text1" w:themeTint="FF" w:themeShade="FF"/>
          <w:shd w:val="clear" w:color="auto" w:fill="FFFFFF"/>
        </w:rPr>
        <w:t xml:space="preserve">will be managed successfully across the SEL </w:t>
      </w:r>
      <w:r w:rsidRPr="6465F1F3" w:rsidR="006B1901">
        <w:rPr>
          <w:color w:val="000000" w:themeColor="text1" w:themeTint="FF" w:themeShade="FF"/>
          <w:shd w:val="clear" w:color="auto" w:fill="FFFFFF"/>
        </w:rPr>
        <w:t>ICB</w:t>
      </w:r>
      <w:r w:rsidRPr="6465F1F3" w:rsidR="008A4142">
        <w:rPr>
          <w:color w:val="000000" w:themeColor="text1" w:themeTint="FF" w:themeShade="FF"/>
          <w:shd w:val="clear" w:color="auto" w:fill="FFFFFF"/>
        </w:rPr>
        <w:t>. This includes:</w:t>
      </w:r>
    </w:p>
    <w:p w:rsidRPr="00D04F84" w:rsidR="008A4142" w:rsidP="6465F1F3" w:rsidRDefault="008A4142" w14:paraId="1D1E1E05" w14:textId="469D4082" w14:noSpellErr="1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  </w:t>
      </w:r>
      <w:r w:rsidRPr="6465F1F3" w:rsidR="008A4142">
        <w:rPr>
          <w:rFonts w:ascii="Arial" w:hAnsi="Arial" w:cs="Arial"/>
          <w:color w:val="000000" w:themeColor="text1" w:themeTint="FF" w:themeShade="FF"/>
        </w:rPr>
        <w:t>Having a clear system for commissioned care providers to report QAs</w:t>
      </w:r>
      <w:r w:rsidRPr="6465F1F3" w:rsidR="006B1901">
        <w:rPr>
          <w:rFonts w:ascii="Arial" w:hAnsi="Arial" w:cs="Arial"/>
          <w:color w:val="000000" w:themeColor="text1" w:themeTint="FF" w:themeShade="FF"/>
        </w:rPr>
        <w:t xml:space="preserve">. 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</w:t>
      </w:r>
    </w:p>
    <w:p w:rsidR="008A4142" w:rsidP="6465F1F3" w:rsidRDefault="008A4142" w14:paraId="2772606A" w14:textId="53E1FEAF" w14:noSpellErr="1">
      <w:pPr>
        <w:pStyle w:val="ListParagraph"/>
        <w:numPr>
          <w:ilvl w:val="0"/>
          <w:numId w:val="5"/>
        </w:numPr>
        <w:spacing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To acknowledged and prioritise all QAs received and to </w:t>
      </w:r>
      <w:r w:rsidRPr="6465F1F3" w:rsidR="008A4142">
        <w:rPr>
          <w:rFonts w:ascii="Arial" w:hAnsi="Arial" w:cs="Arial"/>
          <w:color w:val="000000" w:themeColor="text1" w:themeTint="FF" w:themeShade="FF"/>
        </w:rPr>
        <w:t>identify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impending quality issues for urgent response and those for thematic tracking</w:t>
      </w:r>
      <w:r w:rsidRPr="6465F1F3" w:rsidR="00876AD9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D04F84" w:rsidR="008A4142" w:rsidP="6465F1F3" w:rsidRDefault="008A4142" w14:paraId="69E977A1" w14:textId="14D4D7AA" w14:noSpellErr="1">
      <w:pPr>
        <w:pStyle w:val="ListParagraph"/>
        <w:numPr>
          <w:ilvl w:val="0"/>
          <w:numId w:val="5"/>
        </w:numPr>
        <w:spacing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Ensuring that providers </w:t>
      </w:r>
      <w:r w:rsidRPr="6465F1F3" w:rsidR="008A4142">
        <w:rPr>
          <w:rFonts w:ascii="Arial" w:hAnsi="Arial" w:cs="Arial"/>
          <w:color w:val="000000" w:themeColor="text1" w:themeTint="FF" w:themeShade="FF"/>
        </w:rPr>
        <w:t>submitting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QAs will receive an acknowledgement </w:t>
      </w:r>
      <w:r w:rsidRPr="6465F1F3" w:rsidR="008A4142">
        <w:rPr>
          <w:rFonts w:ascii="Arial" w:hAnsi="Arial" w:cs="Arial"/>
          <w:color w:val="000000" w:themeColor="text1" w:themeTint="FF" w:themeShade="FF"/>
        </w:rPr>
        <w:t>advising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them how their alert has been graded and the next steps, </w:t>
      </w:r>
      <w:r w:rsidRPr="6465F1F3" w:rsidR="00A80FB3">
        <w:rPr>
          <w:rFonts w:ascii="Arial" w:hAnsi="Arial" w:cs="Arial"/>
          <w:color w:val="000000" w:themeColor="text1" w:themeTint="FF" w:themeShade="FF"/>
        </w:rPr>
        <w:t>e.g.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included in thematic analysi</w:t>
      </w:r>
      <w:r w:rsidRPr="6465F1F3" w:rsidR="00876AD9">
        <w:rPr>
          <w:rFonts w:ascii="Arial" w:hAnsi="Arial" w:cs="Arial"/>
          <w:color w:val="000000" w:themeColor="text1" w:themeTint="FF" w:themeShade="FF"/>
        </w:rPr>
        <w:t>s</w:t>
      </w:r>
      <w:r w:rsidRPr="6465F1F3" w:rsidR="008A4142">
        <w:rPr>
          <w:rFonts w:ascii="Arial" w:hAnsi="Arial" w:cs="Arial"/>
          <w:color w:val="000000" w:themeColor="text1" w:themeTint="FF" w:themeShade="FF"/>
        </w:rPr>
        <w:t>, individual response due</w:t>
      </w:r>
      <w:r w:rsidRPr="6465F1F3" w:rsidR="00876AD9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D04F84" w:rsidR="008A4142" w:rsidP="6465F1F3" w:rsidRDefault="008A4142" w14:paraId="3C9F5360" w14:textId="656059B7" w14:noSpellErr="1">
      <w:pPr>
        <w:pStyle w:val="ListParagraph"/>
        <w:numPr>
          <w:ilvl w:val="0"/>
          <w:numId w:val="5"/>
        </w:numPr>
        <w:spacing w:line="259" w:lineRule="auto"/>
        <w:ind w:left="1134" w:hanging="567"/>
        <w:rPr>
          <w:rFonts w:ascii="Arial" w:hAnsi="Arial" w:cs="Arial"/>
          <w:color w:val="000000" w:themeColor="text1" w:themeTint="FF" w:themeShade="FF"/>
        </w:rPr>
      </w:pP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To </w:t>
      </w:r>
      <w:r w:rsidRPr="6465F1F3" w:rsidR="008A4142">
        <w:rPr>
          <w:rFonts w:ascii="Arial" w:hAnsi="Arial" w:cs="Arial"/>
          <w:color w:val="000000" w:themeColor="text1" w:themeTint="FF" w:themeShade="FF"/>
        </w:rPr>
        <w:t>identify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patient safety incidents (</w:t>
      </w:r>
      <w:r w:rsidRPr="6465F1F3" w:rsidR="00876AD9">
        <w:rPr>
          <w:rFonts w:ascii="Arial" w:hAnsi="Arial" w:cs="Arial"/>
          <w:color w:val="000000" w:themeColor="text1" w:themeTint="FF" w:themeShade="FF"/>
        </w:rPr>
        <w:t>LPFSE</w:t>
      </w:r>
      <w:r w:rsidRPr="6465F1F3" w:rsidR="008A4142">
        <w:rPr>
          <w:rFonts w:ascii="Arial" w:hAnsi="Arial" w:cs="Arial"/>
          <w:color w:val="000000" w:themeColor="text1" w:themeTint="FF" w:themeShade="FF"/>
        </w:rPr>
        <w:t xml:space="preserve"> reportabl</w:t>
      </w:r>
      <w:r w:rsidRPr="6465F1F3" w:rsidR="00876AD9">
        <w:rPr>
          <w:rFonts w:ascii="Arial" w:hAnsi="Arial" w:cs="Arial"/>
          <w:color w:val="000000" w:themeColor="text1" w:themeTint="FF" w:themeShade="FF"/>
        </w:rPr>
        <w:t xml:space="preserve">e </w:t>
      </w:r>
      <w:r w:rsidRPr="6465F1F3" w:rsidR="00876AD9">
        <w:rPr>
          <w:rFonts w:ascii="Arial" w:hAnsi="Arial" w:eastAsia="Calibri" w:cs="Arial" w:eastAsiaTheme="minorAscii"/>
          <w:color w:val="000000" w:themeColor="text1" w:themeTint="FF" w:themeShade="FF"/>
          <w:kern w:val="2"/>
          <w:lang w:eastAsia="en-US"/>
          <w14:ligatures w14:val="standardContextual"/>
        </w:rPr>
        <w:t xml:space="preserve">link: </w:t>
      </w:r>
      <w:bookmarkStart w:name="_Hlk139291965" w:id="1"/>
      <w:r>
        <w:fldChar w:fldCharType="begin"/>
      </w:r>
      <w:r>
        <w:instrText>HYPERLINK "https://www.england.nhs.uk/patient-safety/learn-from-patient-safety-events-service/"</w:instrText>
      </w:r>
      <w:r>
        <w:fldChar w:fldCharType="separate"/>
      </w:r>
      <w:r w:rsidRPr="6465F1F3" w:rsidR="00876AD9">
        <w:rPr>
          <w:rFonts w:ascii="Arial" w:hAnsi="Arial" w:eastAsia="Calibri" w:cs="Arial" w:eastAsiaTheme="minorAscii"/>
          <w:color w:val="0000FF"/>
          <w:kern w:val="2"/>
          <w:u w:val="single"/>
          <w:lang w:eastAsia="en-US"/>
          <w14:ligatures w14:val="standardContextual"/>
        </w:rPr>
        <w:t>NHS England » Learn from patient safety events (LFPSE) service</w:t>
      </w:r>
      <w:r w:rsidRPr="6465F1F3">
        <w:rPr>
          <w:rFonts w:ascii="Arial" w:hAnsi="Arial" w:eastAsia="Calibri" w:cs="Arial" w:eastAsiaTheme="minorAscii"/>
          <w:color w:val="0000FF"/>
          <w:kern w:val="2"/>
          <w:u w:val="single"/>
          <w:lang w:eastAsia="en-US"/>
          <w14:ligatures w14:val="standardContextual"/>
        </w:rPr>
        <w:fldChar w:fldCharType="end"/>
      </w:r>
      <w:r w:rsidRPr="6465F1F3" w:rsidR="00876AD9">
        <w:rPr>
          <w:rFonts w:ascii="Arial" w:hAnsi="Arial" w:eastAsia="Calibri" w:cs="Arial" w:eastAsiaTheme="minorAscii"/>
          <w:color w:val="000000" w:themeColor="text1" w:themeTint="FF" w:themeShade="FF"/>
          <w:kern w:val="2"/>
          <w:lang w:eastAsia="en-US"/>
          <w14:ligatures w14:val="standardContextual"/>
        </w:rPr>
        <w:t xml:space="preserve">. </w:t>
      </w:r>
    </w:p>
    <w:bookmarkEnd w:id="1"/>
    <w:p w:rsidRPr="00D04F84" w:rsidR="008A4142" w:rsidP="008A4142" w:rsidRDefault="008A4142" w14:paraId="474E5554" w14:textId="77777777">
      <w:pPr>
        <w:pStyle w:val="ListParagraph"/>
        <w:numPr>
          <w:ilvl w:val="0"/>
          <w:numId w:val="5"/>
        </w:numPr>
        <w:spacing w:line="259" w:lineRule="auto"/>
        <w:ind w:left="1134" w:hanging="567"/>
        <w:rPr>
          <w:rFonts w:ascii="Arial" w:hAnsi="Arial" w:cs="Arial"/>
        </w:rPr>
      </w:pPr>
      <w:r w:rsidRPr="00D04F84">
        <w:rPr>
          <w:rFonts w:ascii="Arial" w:hAnsi="Arial" w:cs="Arial"/>
        </w:rPr>
        <w:t>To ensure no patient identifiable information is shared in line with legislation and information governance regulations applicable to the organisations involved.</w:t>
      </w:r>
    </w:p>
    <w:p w:rsidRPr="00D04F84" w:rsidR="008A4142" w:rsidP="008A4142" w:rsidRDefault="008A4142" w14:paraId="232C4DFC" w14:textId="0C28F890">
      <w:pPr>
        <w:pStyle w:val="ListParagraph"/>
        <w:numPr>
          <w:ilvl w:val="0"/>
          <w:numId w:val="5"/>
        </w:numPr>
        <w:spacing w:line="259" w:lineRule="auto"/>
        <w:ind w:left="1134" w:hanging="567"/>
        <w:rPr>
          <w:rFonts w:ascii="Arial" w:hAnsi="Arial" w:cs="Arial"/>
        </w:rPr>
      </w:pPr>
      <w:r w:rsidRPr="00D04F84">
        <w:rPr>
          <w:rFonts w:ascii="Arial" w:hAnsi="Arial" w:cs="Arial"/>
        </w:rPr>
        <w:t xml:space="preserve">To ensure and collate responses received from providers to QAs and to feedback to </w:t>
      </w:r>
      <w:r>
        <w:rPr>
          <w:rFonts w:ascii="Arial" w:hAnsi="Arial" w:cs="Arial"/>
        </w:rPr>
        <w:t xml:space="preserve">the </w:t>
      </w:r>
      <w:r w:rsidRPr="00D04F84">
        <w:rPr>
          <w:rFonts w:ascii="Arial" w:hAnsi="Arial" w:cs="Arial"/>
        </w:rPr>
        <w:t>submitting organisation</w:t>
      </w:r>
      <w:r w:rsidR="00A80FB3">
        <w:rPr>
          <w:rFonts w:ascii="Arial" w:hAnsi="Arial" w:cs="Arial"/>
        </w:rPr>
        <w:t xml:space="preserve">. </w:t>
      </w:r>
    </w:p>
    <w:p w:rsidR="008A4142" w:rsidP="008A4142" w:rsidRDefault="008A4142" w14:paraId="75B8878C" w14:textId="623A653B">
      <w:pPr>
        <w:pStyle w:val="ListParagraph"/>
        <w:numPr>
          <w:ilvl w:val="0"/>
          <w:numId w:val="5"/>
        </w:numPr>
        <w:spacing w:line="259" w:lineRule="auto"/>
        <w:ind w:left="1134" w:hanging="567"/>
        <w:rPr>
          <w:rFonts w:ascii="Arial" w:hAnsi="Arial" w:cs="Arial"/>
        </w:rPr>
      </w:pPr>
      <w:r w:rsidRPr="00D04F84">
        <w:rPr>
          <w:rFonts w:ascii="Arial" w:hAnsi="Arial" w:cs="Arial"/>
        </w:rPr>
        <w:t xml:space="preserve">To provide regular reports to </w:t>
      </w:r>
      <w:r>
        <w:rPr>
          <w:rFonts w:ascii="Arial" w:hAnsi="Arial" w:cs="Arial"/>
        </w:rPr>
        <w:t xml:space="preserve">all </w:t>
      </w:r>
      <w:r w:rsidRPr="00D04F84">
        <w:rPr>
          <w:rFonts w:ascii="Arial" w:hAnsi="Arial" w:cs="Arial"/>
        </w:rPr>
        <w:t>providers</w:t>
      </w:r>
      <w:r>
        <w:rPr>
          <w:rFonts w:ascii="Arial" w:hAnsi="Arial" w:cs="Arial"/>
        </w:rPr>
        <w:t xml:space="preserve"> including</w:t>
      </w:r>
      <w:r w:rsidRPr="00D04F84">
        <w:rPr>
          <w:rFonts w:ascii="Arial" w:hAnsi="Arial" w:cs="Arial"/>
        </w:rPr>
        <w:t xml:space="preserve"> borough-based teams, primary care teams and internal directorates and commissioners as required</w:t>
      </w:r>
      <w:r w:rsidR="00A80FB3">
        <w:rPr>
          <w:rFonts w:ascii="Arial" w:hAnsi="Arial" w:cs="Arial"/>
        </w:rPr>
        <w:t xml:space="preserve">. </w:t>
      </w:r>
    </w:p>
    <w:p w:rsidR="00C6460A" w:rsidP="00C6460A" w:rsidRDefault="00C6460A" w14:paraId="3FBEA734" w14:textId="77777777">
      <w:pPr>
        <w:spacing w:line="259" w:lineRule="auto"/>
      </w:pPr>
    </w:p>
    <w:p w:rsidR="002C58A6" w:rsidP="00437B65" w:rsidRDefault="002C58A6" w14:paraId="780BC795" w14:textId="1633F4BF">
      <w:pPr>
        <w:rPr>
          <w:b/>
          <w:bCs/>
          <w:sz w:val="28"/>
        </w:rPr>
      </w:pPr>
      <w:bookmarkStart w:name="_Toc58570868" w:id="2"/>
      <w:r w:rsidRPr="006D2A4E">
        <w:rPr>
          <w:b/>
          <w:bCs/>
          <w:sz w:val="28"/>
        </w:rPr>
        <w:t>QA Process Management flowchart</w:t>
      </w:r>
      <w:bookmarkEnd w:id="2"/>
    </w:p>
    <w:p w:rsidR="002C58A6" w:rsidP="002C58A6" w:rsidRDefault="002C58A6" w14:paraId="76F49630" w14:textId="62410180">
      <w:r w:rsidRPr="00A14F52">
        <w:t>The following flowchart depict the process by which QAs will be managed.</w:t>
      </w:r>
      <w:r w:rsidR="00C6460A">
        <w:t xml:space="preserve"> </w:t>
      </w:r>
    </w:p>
    <w:p w:rsidR="00E75982" w:rsidP="00741581" w:rsidRDefault="009775EF" w14:paraId="1C497E53" w14:textId="3BC98075">
      <w:r w:rsidRPr="009775EF">
        <w:t> </w:t>
      </w:r>
      <w:r w:rsidRPr="009775EF">
        <w:rPr>
          <w:noProof/>
        </w:rPr>
        <w:drawing>
          <wp:inline distT="0" distB="0" distL="0" distR="0" wp14:anchorId="599A6263" wp14:editId="207B90D6">
            <wp:extent cx="6106795" cy="4554747"/>
            <wp:effectExtent l="0" t="0" r="8255" b="0"/>
            <wp:docPr id="875681745" name="Picture 1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81745" name="Picture 1" descr="A screenshot of a computer scree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299" cy="45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EF" w:rsidP="00741581" w:rsidRDefault="009775EF" w14:paraId="4505D93F" w14:textId="77777777"/>
    <w:p w:rsidR="00C6460A" w:rsidRDefault="00C6460A" w14:paraId="4D51CFD4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4B1E1F" w:rsidR="004B1E1F" w:rsidP="00741581" w:rsidRDefault="004B1E1F" w14:paraId="03EDE939" w14:textId="3F702BEC">
      <w:pPr>
        <w:rPr>
          <w:b/>
          <w:bCs/>
        </w:rPr>
      </w:pPr>
      <w:r>
        <w:rPr>
          <w:b/>
          <w:bCs/>
        </w:rPr>
        <w:t>QA Grading Process</w:t>
      </w:r>
    </w:p>
    <w:p w:rsidR="00C6460A" w:rsidP="00C6460A" w:rsidRDefault="00160838" w14:paraId="5EBE1239" w14:textId="77777777">
      <w:pPr>
        <w:spacing w:after="120"/>
      </w:pPr>
      <w:r>
        <w:t>The flowchart below depicts the grading of QAs.</w:t>
      </w:r>
      <w:r w:rsidR="00C6460A">
        <w:t xml:space="preserve"> </w:t>
      </w:r>
    </w:p>
    <w:p w:rsidR="009775EF" w:rsidP="00C6460A" w:rsidRDefault="7CDA4F0E" w14:paraId="5931C507" w14:textId="286C5322">
      <w:pPr>
        <w:spacing w:after="120"/>
      </w:pPr>
      <w:r>
        <w:rPr>
          <w:noProof/>
        </w:rPr>
        <w:drawing>
          <wp:inline distT="0" distB="0" distL="0" distR="0" wp14:anchorId="15221D34" wp14:editId="16D24017">
            <wp:extent cx="6106793" cy="4002656"/>
            <wp:effectExtent l="0" t="0" r="8255" b="0"/>
            <wp:docPr id="26712156" name="Picture 4" descr="A picture containing text, screenshot, software,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3" cy="400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E1F" w:rsidP="00741581" w:rsidRDefault="00D77CDA" w14:paraId="41990D49" w14:textId="78575192">
      <w:pPr>
        <w:rPr>
          <w:b/>
          <w:bCs/>
        </w:rPr>
      </w:pPr>
      <w:r>
        <w:rPr>
          <w:b/>
          <w:bCs/>
        </w:rPr>
        <w:t>Escalation Process for Patient Safety Events (PSEs), Serious Incidents (SIs) and Quality Alerts (QAs)</w:t>
      </w:r>
    </w:p>
    <w:p w:rsidR="004B1E1F" w:rsidP="00AA276A" w:rsidRDefault="00E755AA" w14:paraId="28F65A89" w14:textId="76B9EA4D">
      <w:pPr>
        <w:spacing w:after="120"/>
      </w:pPr>
      <w:r>
        <w:t xml:space="preserve">The flowchart below shows the escalation process of PSEs, SIs and QAs reported to the ICB. </w:t>
      </w:r>
    </w:p>
    <w:p w:rsidR="009775EF" w:rsidP="00741581" w:rsidRDefault="009775EF" w14:paraId="410759D1" w14:textId="07D897B6">
      <w:r>
        <w:rPr>
          <w:noProof/>
        </w:rPr>
        <w:drawing>
          <wp:inline distT="0" distB="0" distL="0" distR="0" wp14:anchorId="0CB3B6A8" wp14:editId="69D316B4">
            <wp:extent cx="6106795" cy="3614468"/>
            <wp:effectExtent l="0" t="0" r="8255" b="5080"/>
            <wp:docPr id="764662188" name="Picture 3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62188" name="Picture 3" descr="A picture containing text, screenshot, font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647" cy="36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E5230" w:rsidR="00551F12" w:rsidP="6465F1F3" w:rsidRDefault="00551F12" w14:paraId="5026B5B4" w14:textId="6CAB48F1" w14:noSpellErr="1">
      <w:pPr>
        <w:pStyle w:val="ListParagraph"/>
        <w:numPr>
          <w:ilvl w:val="0"/>
          <w:numId w:val="8"/>
        </w:numPr>
        <w:spacing w:line="259" w:lineRule="auto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</w:rPr>
        <w:t>Duties of organisations c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ommissioned by the </w:t>
      </w:r>
      <w:r w:rsidRPr="6465F1F3" w:rsidR="00C55607">
        <w:rPr>
          <w:rFonts w:ascii="Arial" w:hAnsi="Arial" w:cs="Arial"/>
          <w:b w:val="1"/>
          <w:bCs w:val="1"/>
          <w:color w:val="000000" w:themeColor="text1" w:themeTint="FF" w:themeShade="FF"/>
        </w:rPr>
        <w:t>ICB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to 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provide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health services</w:t>
      </w:r>
    </w:p>
    <w:p w:rsidRPr="00477285" w:rsidR="00551F12" w:rsidP="6465F1F3" w:rsidRDefault="00551F12" w14:paraId="78159B32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Pr="004E5CC8" w:rsidR="00551F12" w:rsidP="6465F1F3" w:rsidRDefault="00551F12" w14:paraId="6FEFC113" w14:textId="4A72C7C5" w14:noSpellErr="1">
      <w:pPr>
        <w:pStyle w:val="ListParagraph"/>
        <w:numPr>
          <w:ilvl w:val="1"/>
          <w:numId w:val="8"/>
        </w:numPr>
        <w:spacing w:line="259" w:lineRule="auto"/>
        <w:ind w:left="567" w:hanging="567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All service providers commissioned by the </w:t>
      </w:r>
      <w:r w:rsidRPr="6465F1F3" w:rsidR="00C3269C">
        <w:rPr>
          <w:rFonts w:ascii="Arial" w:hAnsi="Arial" w:cs="Arial"/>
          <w:color w:val="000000" w:themeColor="text1" w:themeTint="FF" w:themeShade="FF"/>
        </w:rPr>
        <w:t>ICB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, either as a co-ordinating commissioner, community interest company or associate, have a requirement to report, investigate and </w:t>
      </w:r>
      <w:r w:rsidRPr="6465F1F3" w:rsidR="00551F12">
        <w:rPr>
          <w:rFonts w:ascii="Arial" w:hAnsi="Arial" w:cs="Arial"/>
          <w:color w:val="000000" w:themeColor="text1" w:themeTint="FF" w:themeShade="FF"/>
        </w:rPr>
        <w:t>monitor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alerts,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incidents (including SIs)</w:t>
      </w:r>
      <w:r w:rsidRPr="6465F1F3" w:rsidR="00C3269C">
        <w:rPr>
          <w:rFonts w:ascii="Arial" w:hAnsi="Arial" w:cs="Arial"/>
          <w:color w:val="000000" w:themeColor="text1" w:themeTint="FF" w:themeShade="FF"/>
        </w:rPr>
        <w:t xml:space="preserve"> and patient safety events (PSEs)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as specified within contracts and legislation. </w:t>
      </w:r>
    </w:p>
    <w:p w:rsidR="00551F12" w:rsidP="6465F1F3" w:rsidRDefault="00551F12" w14:paraId="5BCEF61A" w14:textId="77777777" w14:noSpellErr="1">
      <w:pPr>
        <w:spacing w:line="259" w:lineRule="auto"/>
        <w:rPr>
          <w:color w:val="000000" w:themeColor="text1" w:themeTint="FF" w:themeShade="FF"/>
        </w:rPr>
      </w:pPr>
      <w:r w:rsidRPr="6465F1F3" w:rsidR="00551F12">
        <w:rPr>
          <w:color w:val="000000" w:themeColor="text1" w:themeTint="FF" w:themeShade="FF"/>
        </w:rPr>
        <w:t xml:space="preserve"> </w:t>
      </w:r>
    </w:p>
    <w:p w:rsidR="00551F12" w:rsidP="6465F1F3" w:rsidRDefault="00551F12" w14:paraId="2DC43B8F" w14:textId="77777777" w14:noSpellErr="1">
      <w:pPr>
        <w:pStyle w:val="ListParagraph"/>
        <w:numPr>
          <w:ilvl w:val="0"/>
          <w:numId w:val="8"/>
        </w:numPr>
        <w:spacing w:line="259" w:lineRule="auto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Dissemination, Training &amp; Advice </w:t>
      </w:r>
    </w:p>
    <w:p w:rsidRPr="00597016" w:rsidR="00551F12" w:rsidP="6465F1F3" w:rsidRDefault="00551F12" w14:paraId="5C2D96F1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Pr="00477285" w:rsidR="00551F12" w:rsidP="00551F12" w:rsidRDefault="00551F12" w14:paraId="5C048C04" w14:textId="66333611" w14:noSpellErr="1">
      <w:pPr>
        <w:pStyle w:val="ListParagraph"/>
        <w:numPr>
          <w:ilvl w:val="1"/>
          <w:numId w:val="8"/>
        </w:numPr>
        <w:spacing w:line="259" w:lineRule="auto"/>
        <w:ind w:left="567" w:hanging="567"/>
        <w:rPr>
          <w:rFonts w:ascii="Arial" w:hAnsi="Arial" w:cs="Arial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>Once ratified</w:t>
      </w:r>
      <w:r w:rsidRPr="6465F1F3" w:rsidR="006E36FD">
        <w:rPr>
          <w:rFonts w:ascii="Arial" w:hAnsi="Arial" w:cs="Arial"/>
          <w:color w:val="000000" w:themeColor="text1" w:themeTint="FF" w:themeShade="FF"/>
        </w:rPr>
        <w:t>,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this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will supersede all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previous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>QA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reporting policies and procedures. In order that this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disseminated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</w:t>
      </w:r>
      <w:r w:rsidRPr="6465F1F3" w:rsidR="00551F12">
        <w:rPr>
          <w:rFonts w:ascii="Arial" w:hAnsi="Arial" w:cs="Arial"/>
        </w:rPr>
        <w:t>nd implemented correctly</w:t>
      </w:r>
      <w:r w:rsidRPr="6465F1F3" w:rsidR="003E2EFA">
        <w:rPr>
          <w:rFonts w:ascii="Arial" w:hAnsi="Arial" w:cs="Arial"/>
        </w:rPr>
        <w:t>,</w:t>
      </w:r>
      <w:r w:rsidRPr="6465F1F3" w:rsidR="00551F12">
        <w:rPr>
          <w:rFonts w:ascii="Arial" w:hAnsi="Arial" w:cs="Arial"/>
        </w:rPr>
        <w:t xml:space="preserve"> the following will occur after ratification: </w:t>
      </w:r>
    </w:p>
    <w:p w:rsidRPr="00477285" w:rsidR="00551F12" w:rsidP="00551F12" w:rsidRDefault="00551F12" w14:paraId="357C67F2" w14:textId="77777777"/>
    <w:p w:rsidRPr="00477285" w:rsidR="00551F12" w:rsidP="00551F12" w:rsidRDefault="00551F12" w14:paraId="00AC7760" w14:textId="2B4420F0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6465F1F3" w:rsidR="00551F12">
        <w:rPr>
          <w:rFonts w:ascii="Arial" w:hAnsi="Arial" w:cs="Arial"/>
        </w:rPr>
        <w:t xml:space="preserve">The </w:t>
      </w:r>
      <w:r w:rsidRPr="6465F1F3" w:rsidR="00551F12">
        <w:rPr>
          <w:rFonts w:ascii="Arial" w:hAnsi="Arial" w:cs="Arial"/>
        </w:rPr>
        <w:t>procedure</w:t>
      </w:r>
      <w:r w:rsidRPr="6465F1F3" w:rsidR="00551F12">
        <w:rPr>
          <w:rFonts w:ascii="Arial" w:hAnsi="Arial" w:cs="Arial"/>
        </w:rPr>
        <w:t xml:space="preserve"> will be published on the </w:t>
      </w:r>
      <w:r w:rsidRPr="6465F1F3" w:rsidR="00551F12">
        <w:rPr>
          <w:rFonts w:ascii="Arial" w:hAnsi="Arial" w:cs="Arial"/>
        </w:rPr>
        <w:t>SEL ICS</w:t>
      </w:r>
      <w:r w:rsidRPr="6465F1F3" w:rsidR="00551F12">
        <w:rPr>
          <w:rFonts w:ascii="Arial" w:hAnsi="Arial" w:cs="Arial"/>
        </w:rPr>
        <w:t xml:space="preserve"> website and relevant links </w:t>
      </w:r>
      <w:r w:rsidRPr="6465F1F3" w:rsidR="00551F12">
        <w:rPr>
          <w:rFonts w:ascii="Arial" w:hAnsi="Arial" w:cs="Arial"/>
        </w:rPr>
        <w:t xml:space="preserve">(Datix QA reporting </w:t>
      </w:r>
      <w:hyperlink r:id="R72098c55259847dc">
        <w:r w:rsidRPr="6465F1F3" w:rsidR="003E2EFA">
          <w:rPr>
            <w:rStyle w:val="Hyperlink"/>
            <w:rFonts w:ascii="Arial" w:hAnsi="Arial" w:cs="Arial"/>
          </w:rPr>
          <w:t>here</w:t>
        </w:r>
      </w:hyperlink>
      <w:r w:rsidRPr="6465F1F3" w:rsidR="00551F12">
        <w:rPr>
          <w:rFonts w:ascii="Arial" w:hAnsi="Arial" w:cs="Arial"/>
        </w:rPr>
        <w:t xml:space="preserve"> will be </w:t>
      </w:r>
      <w:r w:rsidRPr="6465F1F3" w:rsidR="00551F12">
        <w:rPr>
          <w:rFonts w:ascii="Arial" w:hAnsi="Arial" w:cs="Arial"/>
        </w:rPr>
        <w:t xml:space="preserve">sent out via the communications and engagement department. </w:t>
      </w:r>
    </w:p>
    <w:p w:rsidRPr="00477285" w:rsidR="00551F12" w:rsidP="6465F1F3" w:rsidRDefault="00551F12" w14:paraId="736C43C9" w14:textId="77777777" w14:noSpellErr="1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</w:rPr>
        <w:t>The Datix risk management tr</w:t>
      </w:r>
      <w:r w:rsidRPr="6465F1F3" w:rsidR="00551F12">
        <w:rPr>
          <w:rFonts w:ascii="Arial" w:hAnsi="Arial" w:cs="Arial"/>
          <w:color w:val="000000" w:themeColor="text1" w:themeTint="FF" w:themeShade="FF"/>
        </w:rPr>
        <w:t>aining i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s designed to match this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and attendees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>will be</w:t>
      </w:r>
      <w:r w:rsidRPr="6465F1F3" w:rsidR="00551F12">
        <w:rPr>
          <w:rStyle w:val="CommentReference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made aware of this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477285" w:rsidR="00551F12" w:rsidP="6465F1F3" w:rsidRDefault="00551F12" w14:paraId="1B7172C7" w14:textId="77777777" w14:noSpellErr="1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Senior managers will make their staff aware of this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477285" w:rsidR="00551F12" w:rsidP="6465F1F3" w:rsidRDefault="00551F12" w14:paraId="6A4D0BF1" w14:textId="6039A039" w14:noSpellErr="1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Advice can be </w:t>
      </w:r>
      <w:r w:rsidRPr="6465F1F3" w:rsidR="00551F12">
        <w:rPr>
          <w:rFonts w:ascii="Arial" w:hAnsi="Arial" w:cs="Arial"/>
          <w:color w:val="000000" w:themeColor="text1" w:themeTint="FF" w:themeShade="FF"/>
        </w:rPr>
        <w:t>sought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from the Quality</w:t>
      </w:r>
      <w:r w:rsidRPr="6465F1F3" w:rsidR="003E2EFA">
        <w:rPr>
          <w:rFonts w:ascii="Arial" w:hAnsi="Arial" w:cs="Arial"/>
          <w:color w:val="000000" w:themeColor="text1" w:themeTint="FF" w:themeShade="FF"/>
        </w:rPr>
        <w:t xml:space="preserve"> Information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Team</w:t>
      </w:r>
      <w:r w:rsidRPr="6465F1F3" w:rsidR="003E2EFA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3E2EFA">
        <w:rPr>
          <w:rFonts w:ascii="Arial" w:hAnsi="Arial" w:cs="Arial"/>
          <w:color w:val="000000" w:themeColor="text1" w:themeTint="FF" w:themeShade="FF"/>
        </w:rPr>
        <w:t>(QIT)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477285" w:rsidR="00551F12" w:rsidP="6465F1F3" w:rsidRDefault="00551F12" w14:paraId="28CFF99D" w14:textId="77777777" w14:noSpellErr="1">
      <w:pPr>
        <w:pStyle w:val="ListParagraph"/>
        <w:spacing w:line="259" w:lineRule="auto"/>
        <w:ind w:left="567"/>
        <w:rPr>
          <w:rFonts w:ascii="Arial" w:hAnsi="Arial" w:cs="Arial"/>
          <w:color w:val="000000" w:themeColor="text1" w:themeTint="FF" w:themeShade="FF"/>
        </w:rPr>
      </w:pPr>
    </w:p>
    <w:p w:rsidRPr="00477285" w:rsidR="00551F12" w:rsidP="6465F1F3" w:rsidRDefault="00551F12" w14:paraId="4DA7C670" w14:textId="77777777" w14:noSpellErr="1">
      <w:pPr>
        <w:pStyle w:val="ListParagraph"/>
        <w:numPr>
          <w:ilvl w:val="0"/>
          <w:numId w:val="8"/>
        </w:numPr>
        <w:spacing w:line="259" w:lineRule="auto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Process for Approval &amp; Ratification </w:t>
      </w:r>
    </w:p>
    <w:p w:rsidRPr="00477285" w:rsidR="00551F12" w:rsidP="6465F1F3" w:rsidRDefault="00551F12" w14:paraId="38749EB0" w14:textId="77777777" w14:noSpellErr="1">
      <w:pPr>
        <w:rPr>
          <w:b w:val="1"/>
          <w:bCs w:val="1"/>
          <w:color w:val="000000" w:themeColor="text1" w:themeTint="FF" w:themeShade="FF"/>
        </w:rPr>
      </w:pPr>
    </w:p>
    <w:p w:rsidRPr="00477285" w:rsidR="00551F12" w:rsidP="6465F1F3" w:rsidRDefault="00551F12" w14:paraId="6CF8A445" w14:textId="0C696A7C" w14:noSpellErr="1">
      <w:pPr>
        <w:pStyle w:val="ListParagraph"/>
        <w:numPr>
          <w:ilvl w:val="1"/>
          <w:numId w:val="8"/>
        </w:numPr>
        <w:spacing w:line="259" w:lineRule="auto"/>
        <w:ind w:left="567" w:hanging="567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This </w:t>
      </w:r>
      <w:r w:rsidRPr="6465F1F3" w:rsidR="00551F12">
        <w:rPr>
          <w:rFonts w:ascii="Arial" w:hAnsi="Arial" w:cs="Arial"/>
          <w:color w:val="000000" w:themeColor="text1" w:themeTint="FF" w:themeShade="FF"/>
        </w:rPr>
        <w:t>procedure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will be approved and ratified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by the Quality and </w:t>
      </w:r>
      <w:r w:rsidRPr="6465F1F3" w:rsidR="00856408">
        <w:rPr>
          <w:rFonts w:ascii="Arial" w:hAnsi="Arial" w:cs="Arial"/>
          <w:color w:val="000000" w:themeColor="text1" w:themeTint="FF" w:themeShade="FF"/>
        </w:rPr>
        <w:t>Performance C</w:t>
      </w:r>
      <w:r w:rsidRPr="6465F1F3" w:rsidR="00551F12">
        <w:rPr>
          <w:rFonts w:ascii="Arial" w:hAnsi="Arial" w:cs="Arial"/>
          <w:color w:val="000000" w:themeColor="text1" w:themeTint="FF" w:themeShade="FF"/>
        </w:rPr>
        <w:t>ommittee.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477285" w:rsidR="00551F12" w:rsidP="6465F1F3" w:rsidRDefault="00551F12" w14:paraId="19C2DF35" w14:textId="77777777" w14:noSpellErr="1">
      <w:pPr>
        <w:rPr>
          <w:color w:val="000000" w:themeColor="text1" w:themeTint="FF" w:themeShade="FF"/>
        </w:rPr>
      </w:pPr>
    </w:p>
    <w:p w:rsidR="00551F12" w:rsidP="6465F1F3" w:rsidRDefault="00551F12" w14:paraId="63F9BCB5" w14:textId="77777777" w14:noSpellErr="1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Review, Monitoring and Compliance</w:t>
      </w:r>
    </w:p>
    <w:p w:rsidR="00551F12" w:rsidP="6465F1F3" w:rsidRDefault="00551F12" w14:paraId="7EC95E64" w14:textId="77777777" w14:noSpellErr="1">
      <w:pPr>
        <w:spacing w:line="259" w:lineRule="auto"/>
        <w:rPr>
          <w:b w:val="1"/>
          <w:bCs w:val="1"/>
          <w:color w:val="000000" w:themeColor="text1" w:themeTint="FF" w:themeShade="FF"/>
        </w:rPr>
      </w:pPr>
    </w:p>
    <w:p w:rsidR="00551F12" w:rsidP="6465F1F3" w:rsidRDefault="00551F12" w14:paraId="0E371F16" w14:textId="450AE70A" w14:noSpellErr="1">
      <w:pPr>
        <w:pStyle w:val="ListParagraph"/>
        <w:numPr>
          <w:ilvl w:val="1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>Th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e </w:t>
      </w:r>
      <w:r w:rsidRPr="6465F1F3" w:rsidR="00551F12">
        <w:rPr>
          <w:rFonts w:ascii="Arial" w:hAnsi="Arial" w:cs="Arial"/>
          <w:color w:val="000000" w:themeColor="text1" w:themeTint="FF" w:themeShade="FF"/>
        </w:rPr>
        <w:t>document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will be reviewed every three years unless there is a </w:t>
      </w:r>
      <w:r w:rsidRPr="6465F1F3" w:rsidR="00551F12">
        <w:rPr>
          <w:rFonts w:ascii="Arial" w:hAnsi="Arial" w:cs="Arial"/>
          <w:color w:val="000000" w:themeColor="text1" w:themeTint="FF" w:themeShade="FF"/>
        </w:rPr>
        <w:t>significant change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in legislation or process which requires an urgent change in procedure such as the introduction of Patient Safety Incident Reporting Framework (PSIRF) in 2022 by the NHSE/I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or significant internal process changes in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the Quality </w:t>
      </w:r>
      <w:r w:rsidRPr="6465F1F3" w:rsidR="00C64A33">
        <w:rPr>
          <w:rFonts w:ascii="Arial" w:hAnsi="Arial" w:cs="Arial"/>
          <w:color w:val="000000" w:themeColor="text1" w:themeTint="FF" w:themeShade="FF"/>
        </w:rPr>
        <w:t xml:space="preserve">Information </w:t>
      </w:r>
      <w:r w:rsidRPr="6465F1F3" w:rsidR="00551F12">
        <w:rPr>
          <w:rFonts w:ascii="Arial" w:hAnsi="Arial" w:cs="Arial"/>
          <w:color w:val="000000" w:themeColor="text1" w:themeTint="FF" w:themeShade="FF"/>
        </w:rPr>
        <w:t>Team</w:t>
      </w:r>
      <w:r w:rsidRPr="6465F1F3" w:rsidR="00551F12">
        <w:rPr>
          <w:rFonts w:ascii="Arial" w:hAnsi="Arial" w:cs="Arial"/>
          <w:color w:val="000000" w:themeColor="text1" w:themeTint="FF" w:themeShade="FF"/>
        </w:rPr>
        <w:t>.</w:t>
      </w:r>
      <w:r w:rsidRPr="6465F1F3" w:rsidR="00856408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D87AC3" w:rsidR="00551F12" w:rsidP="6465F1F3" w:rsidRDefault="00551F12" w14:paraId="73B05319" w14:textId="77777777" w14:noSpellErr="1">
      <w:pPr>
        <w:pStyle w:val="ListParagraph"/>
        <w:numPr>
          <w:ilvl w:val="1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Regular monitoring and review will take place to ensure the continued effectiveness of these procedures. </w:t>
      </w:r>
    </w:p>
    <w:p w:rsidR="00551F12" w:rsidP="6465F1F3" w:rsidRDefault="00551F12" w14:paraId="4E70EA8E" w14:textId="77777777" w14:noSpellErr="1">
      <w:pPr>
        <w:jc w:val="both"/>
        <w:rPr>
          <w:color w:val="000000" w:themeColor="text1" w:themeTint="FF" w:themeShade="FF"/>
        </w:rPr>
      </w:pPr>
    </w:p>
    <w:p w:rsidRPr="002F744B" w:rsidR="00551F12" w:rsidP="6465F1F3" w:rsidRDefault="00551F12" w14:paraId="5CE328D1" w14:textId="77777777" w14:noSpellErr="1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Being Open - </w:t>
      </w:r>
      <w:r w:rsidRPr="6465F1F3" w:rsidR="00551F12">
        <w:rPr>
          <w:rFonts w:ascii="Arial" w:hAnsi="Arial" w:cs="Arial"/>
          <w:color w:val="000000" w:themeColor="text1" w:themeTint="FF" w:themeShade="FF"/>
        </w:rPr>
        <w:t>Open communication of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QAs where learning has been </w:t>
      </w:r>
      <w:r w:rsidRPr="6465F1F3" w:rsidR="00551F12">
        <w:rPr>
          <w:rFonts w:ascii="Arial" w:hAnsi="Arial" w:cs="Arial"/>
          <w:color w:val="000000" w:themeColor="text1" w:themeTint="FF" w:themeShade="FF"/>
        </w:rPr>
        <w:t>identified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of a patient while receiving healthcare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in line with Duty of Candour legislation.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</w:p>
    <w:p w:rsidR="00543166" w:rsidP="6465F1F3" w:rsidRDefault="00543166" w14:paraId="674502F8" w14:textId="77777777" w14:noSpellErr="1">
      <w:pPr>
        <w:rPr>
          <w:color w:val="000000" w:themeColor="text1" w:themeTint="FF" w:themeShade="FF"/>
        </w:rPr>
      </w:pPr>
    </w:p>
    <w:p w:rsidRPr="002843DD" w:rsidR="00551F12" w:rsidP="6465F1F3" w:rsidRDefault="00551F12" w14:paraId="5D3A8557" w14:textId="77777777" w14:noSpellErr="1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Duty of Candour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– a statutory requirement introduced to ensure health care providers </w:t>
      </w:r>
      <w:r w:rsidRPr="6465F1F3" w:rsidR="00551F12">
        <w:rPr>
          <w:rFonts w:ascii="Arial" w:hAnsi="Arial" w:cs="Arial"/>
          <w:color w:val="000000" w:themeColor="text1" w:themeTint="FF" w:themeShade="FF"/>
        </w:rPr>
        <w:t>operate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in a more open and transparent way.</w:t>
      </w:r>
      <w:r w:rsidRPr="6465F1F3" w:rsidR="00551F12">
        <w:rPr>
          <w:rStyle w:val="Hyperlink"/>
          <w:color w:val="000000" w:themeColor="text1" w:themeTint="FF" w:themeShade="FF"/>
        </w:rPr>
        <w:t xml:space="preserve"> </w:t>
      </w:r>
      <w:hyperlink r:id="R5d0007b81c2d4787">
        <w:r w:rsidRPr="6465F1F3" w:rsidR="00551F12">
          <w:rPr>
            <w:rStyle w:val="Hyperlink"/>
            <w:rFonts w:ascii="Arial" w:hAnsi="Arial" w:cs="Arial"/>
            <w:color w:val="000000" w:themeColor="text1" w:themeTint="FF" w:themeShade="FF"/>
          </w:rPr>
          <w:t>Regulation 20: Duty of candour | Care Quality Commission (cqc.org.uk)</w:t>
        </w:r>
      </w:hyperlink>
    </w:p>
    <w:p w:rsidRPr="00455F9B" w:rsidR="00551F12" w:rsidP="6465F1F3" w:rsidRDefault="00551F12" w14:paraId="291A3113" w14:textId="77777777" w14:noSpellErr="1">
      <w:pPr>
        <w:pStyle w:val="ListParagraph"/>
        <w:rPr>
          <w:rFonts w:ascii="Arial" w:hAnsi="Arial" w:cs="Arial"/>
          <w:color w:val="000000" w:themeColor="text1" w:themeTint="FF" w:themeShade="FF"/>
        </w:rPr>
      </w:pPr>
    </w:p>
    <w:p w:rsidRPr="00EC21F3" w:rsidR="00551F12" w:rsidP="6465F1F3" w:rsidRDefault="00551F12" w14:paraId="6CD970E7" w14:textId="320567FD" w14:noSpellErr="1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Serious Incidents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>-  The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8A4745">
        <w:rPr>
          <w:rFonts w:ascii="Arial" w:hAnsi="Arial" w:cs="Arial"/>
          <w:color w:val="000000" w:themeColor="text1" w:themeTint="FF" w:themeShade="FF"/>
        </w:rPr>
        <w:t>ICB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and all providers commissioned by the CCG will work in line with national requirements set out in the NHS England Serious Incident Framework 2015 </w:t>
      </w:r>
      <w:hyperlink r:id="R2d716c21b3994c39">
        <w:r w:rsidRPr="6465F1F3" w:rsidR="00551F12">
          <w:rPr>
            <w:rStyle w:val="Hyperlink"/>
            <w:rFonts w:ascii="Arial" w:hAnsi="Arial" w:cs="Arial"/>
            <w:color w:val="000000" w:themeColor="text1" w:themeTint="FF" w:themeShade="FF"/>
          </w:rPr>
          <w:t>serious-incidnt-framwrk-upd.pdf (england.nhs.uk)</w:t>
        </w:r>
      </w:hyperlink>
      <w:r w:rsidRPr="6465F1F3" w:rsidR="00551F12">
        <w:rPr>
          <w:rStyle w:val="Hyperlink"/>
          <w:rFonts w:ascii="Arial" w:hAnsi="Arial" w:cs="Arial"/>
          <w:color w:val="000000" w:themeColor="text1" w:themeTint="FF" w:themeShade="FF"/>
        </w:rPr>
        <w:t xml:space="preserve">. </w:t>
      </w:r>
    </w:p>
    <w:p w:rsidRPr="00455F9B" w:rsidR="00551F12" w:rsidP="6465F1F3" w:rsidRDefault="00551F12" w14:paraId="6CCD474D" w14:textId="77777777" w14:noSpellErr="1">
      <w:pPr>
        <w:pStyle w:val="ListParagraph"/>
        <w:rPr>
          <w:rFonts w:ascii="Arial" w:hAnsi="Arial" w:cs="Arial"/>
          <w:color w:val="000000" w:themeColor="text1" w:themeTint="FF" w:themeShade="FF"/>
        </w:rPr>
      </w:pPr>
    </w:p>
    <w:p w:rsidR="00551F12" w:rsidP="6465F1F3" w:rsidRDefault="00551F12" w14:paraId="1A3538B4" w14:textId="1D3C0C35" w14:noSpellErr="1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Patient Safety Incident -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 QA which is identified as a patient safety alert 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MUST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be reported directly onto the </w:t>
      </w:r>
      <w:r w:rsidRPr="6465F1F3" w:rsidR="00F65477">
        <w:rPr>
          <w:rFonts w:ascii="Arial" w:hAnsi="Arial" w:cs="Arial"/>
          <w:color w:val="000000" w:themeColor="text1" w:themeTint="FF" w:themeShade="FF"/>
        </w:rPr>
        <w:t xml:space="preserve">Learn </w:t>
      </w:r>
      <w:r w:rsidRPr="6465F1F3" w:rsidR="00F65477">
        <w:rPr>
          <w:rFonts w:ascii="Arial" w:hAnsi="Arial" w:cs="Arial"/>
          <w:color w:val="000000" w:themeColor="text1" w:themeTint="FF" w:themeShade="FF"/>
        </w:rPr>
        <w:t>From</w:t>
      </w:r>
      <w:r w:rsidRPr="6465F1F3" w:rsidR="00F65477">
        <w:rPr>
          <w:rFonts w:ascii="Arial" w:hAnsi="Arial" w:cs="Arial"/>
          <w:color w:val="000000" w:themeColor="text1" w:themeTint="FF" w:themeShade="FF"/>
        </w:rPr>
        <w:t xml:space="preserve"> Patient Safety Events (LFPSE)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>online</w:t>
      </w:r>
      <w:r w:rsidRPr="6465F1F3" w:rsidR="00AF5670">
        <w:rPr>
          <w:rFonts w:ascii="Arial" w:hAnsi="Arial" w:cs="Arial"/>
          <w:color w:val="000000" w:themeColor="text1" w:themeTint="FF" w:themeShade="FF"/>
        </w:rPr>
        <w:t xml:space="preserve"> </w:t>
      </w:r>
      <w:r w:rsidRPr="6465F1F3" w:rsidR="00551F12">
        <w:rPr>
          <w:rFonts w:ascii="Arial" w:hAnsi="Arial" w:cs="Arial"/>
          <w:color w:val="000000" w:themeColor="text1" w:themeTint="FF" w:themeShade="FF"/>
        </w:rPr>
        <w:t>via this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link</w:t>
      </w:r>
      <w:r w:rsidRPr="6465F1F3" w:rsidR="00F65477">
        <w:rPr>
          <w:rFonts w:ascii="Arial" w:hAnsi="Arial" w:cs="Arial"/>
          <w:color w:val="000000" w:themeColor="text1" w:themeTint="FF" w:themeShade="FF"/>
        </w:rPr>
        <w:t xml:space="preserve"> </w:t>
      </w:r>
      <w:hyperlink w:history="1" r:id="R1bd4f2b555d24463">
        <w:r w:rsidRPr="6465F1F3" w:rsidR="00F65477">
          <w:rPr>
            <w:rFonts w:ascii="Arial" w:hAnsi="Arial" w:eastAsia="Calibri" w:cs="Arial" w:eastAsiaTheme="minorAscii"/>
            <w:color w:val="000000" w:themeColor="text1" w:themeTint="FF" w:themeShade="FF"/>
            <w:kern w:val="2"/>
            <w:u w:val="single"/>
            <w:lang w:eastAsia="en-US"/>
            <w14:ligatures w14:val="standardContextual"/>
          </w:rPr>
          <w:t>NHS England » Learn from patient safety events (LFPSE) service</w:t>
        </w:r>
      </w:hyperlink>
      <w:r w:rsidRPr="6465F1F3" w:rsidR="00551F12">
        <w:rPr>
          <w:color w:val="000000" w:themeColor="text1" w:themeTint="FF" w:themeShade="FF"/>
        </w:rPr>
        <w:t xml:space="preserve">. 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Healthcare organisations </w:t>
      </w: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MUST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have systems in place to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identify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and report patient safety incidents, where this is not the case, the Quality </w:t>
      </w:r>
      <w:r w:rsidRPr="6465F1F3" w:rsidR="00F65477">
        <w:rPr>
          <w:rFonts w:ascii="Arial" w:hAnsi="Arial" w:cs="Arial"/>
          <w:color w:val="000000" w:themeColor="text1" w:themeTint="FF" w:themeShade="FF"/>
        </w:rPr>
        <w:t xml:space="preserve">Information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Team will review the QA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or incident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identified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to ensure that it has been reported on the 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appropriate system</w:t>
      </w:r>
      <w:r w:rsidRPr="6465F1F3" w:rsidR="00551F12">
        <w:rPr>
          <w:rFonts w:ascii="Arial" w:hAnsi="Arial" w:cs="Arial"/>
          <w:color w:val="000000" w:themeColor="text1" w:themeTint="FF" w:themeShade="FF"/>
        </w:rPr>
        <w:t xml:space="preserve"> and will share learning and themes. </w:t>
      </w:r>
    </w:p>
    <w:p w:rsidRPr="004E5CC8" w:rsidR="00551F12" w:rsidP="6465F1F3" w:rsidRDefault="00551F12" w14:paraId="06CD223E" w14:textId="77777777" w14:noSpellErr="1">
      <w:pPr>
        <w:pStyle w:val="ListParagraph"/>
        <w:rPr>
          <w:rFonts w:ascii="Arial" w:hAnsi="Arial" w:cs="Arial"/>
          <w:color w:val="000000" w:themeColor="text1" w:themeTint="FF" w:themeShade="FF"/>
        </w:rPr>
      </w:pPr>
    </w:p>
    <w:p w:rsidRPr="004E5CC8" w:rsidR="00551F12" w:rsidP="6465F1F3" w:rsidRDefault="00551F12" w14:paraId="06A757A1" w14:textId="77777777" w14:noSpellErr="1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000000" w:themeColor="text1" w:themeTint="FF" w:themeShade="FF"/>
        </w:rPr>
      </w:pPr>
      <w:r w:rsidRPr="6465F1F3" w:rsidR="00551F12">
        <w:rPr>
          <w:rFonts w:ascii="Arial" w:hAnsi="Arial" w:cs="Arial"/>
          <w:b w:val="1"/>
          <w:bCs w:val="1"/>
          <w:color w:val="000000" w:themeColor="text1" w:themeTint="FF" w:themeShade="FF"/>
        </w:rPr>
        <w:t>Reporting</w:t>
      </w:r>
    </w:p>
    <w:p w:rsidRPr="004E5CC8" w:rsidR="00551F12" w:rsidP="6465F1F3" w:rsidRDefault="00551F12" w14:paraId="5CD96A51" w14:textId="77777777" w14:noSpellErr="1">
      <w:pPr>
        <w:pStyle w:val="ListParagraph"/>
        <w:rPr>
          <w:rFonts w:ascii="Arial" w:hAnsi="Arial" w:cs="Arial"/>
          <w:color w:val="000000" w:themeColor="text1" w:themeTint="FF" w:themeShade="FF"/>
        </w:rPr>
      </w:pPr>
    </w:p>
    <w:p w:rsidR="00551F12" w:rsidP="6465F1F3" w:rsidRDefault="00551F12" w14:paraId="1BD0936C" w14:textId="79F9476B" w14:noSpellErr="1">
      <w:pPr>
        <w:spacing w:line="259" w:lineRule="auto"/>
        <w:rPr>
          <w:color w:val="000000" w:themeColor="text1" w:themeTint="FF" w:themeShade="FF"/>
        </w:rPr>
      </w:pPr>
      <w:r w:rsidRPr="6465F1F3" w:rsidR="00551F12">
        <w:rPr>
          <w:color w:val="000000" w:themeColor="text1" w:themeTint="FF" w:themeShade="FF"/>
        </w:rPr>
        <w:t>13.1</w:t>
      </w:r>
      <w:r>
        <w:tab/>
      </w:r>
      <w:r w:rsidRPr="6465F1F3" w:rsidR="00551F12">
        <w:rPr>
          <w:color w:val="000000" w:themeColor="text1" w:themeTint="FF" w:themeShade="FF"/>
        </w:rPr>
        <w:t xml:space="preserve">The Quality </w:t>
      </w:r>
      <w:r w:rsidRPr="6465F1F3" w:rsidR="008C79C0">
        <w:rPr>
          <w:color w:val="000000" w:themeColor="text1" w:themeTint="FF" w:themeShade="FF"/>
        </w:rPr>
        <w:t xml:space="preserve">Information </w:t>
      </w:r>
      <w:r w:rsidRPr="6465F1F3" w:rsidR="00551F12">
        <w:rPr>
          <w:color w:val="000000" w:themeColor="text1" w:themeTint="FF" w:themeShade="FF"/>
        </w:rPr>
        <w:t xml:space="preserve">Team will </w:t>
      </w:r>
      <w:r w:rsidRPr="6465F1F3" w:rsidR="00551F12">
        <w:rPr>
          <w:color w:val="000000" w:themeColor="text1" w:themeTint="FF" w:themeShade="FF"/>
        </w:rPr>
        <w:t>be responsible for</w:t>
      </w:r>
      <w:r w:rsidRPr="6465F1F3" w:rsidR="00551F12">
        <w:rPr>
          <w:color w:val="000000" w:themeColor="text1" w:themeTint="FF" w:themeShade="FF"/>
        </w:rPr>
        <w:t xml:space="preserve"> collating and analysing data for presentation within reports and </w:t>
      </w:r>
      <w:r w:rsidRPr="6465F1F3" w:rsidR="008C79C0">
        <w:rPr>
          <w:color w:val="000000" w:themeColor="text1" w:themeTint="FF" w:themeShade="FF"/>
        </w:rPr>
        <w:t>monitoring of trends</w:t>
      </w:r>
      <w:r w:rsidRPr="6465F1F3" w:rsidR="00551F12">
        <w:rPr>
          <w:color w:val="000000" w:themeColor="text1" w:themeTint="FF" w:themeShade="FF"/>
        </w:rPr>
        <w:t xml:space="preserve">.  </w:t>
      </w:r>
      <w:r w:rsidRPr="6465F1F3" w:rsidR="00551F12">
        <w:rPr>
          <w:color w:val="000000" w:themeColor="text1" w:themeTint="FF" w:themeShade="FF"/>
        </w:rPr>
        <w:t xml:space="preserve">It will be ensured that all QA reports reviewed and presented are appropriately referenced and graded, collated, and </w:t>
      </w:r>
      <w:r w:rsidRPr="6465F1F3" w:rsidR="00551F12">
        <w:rPr>
          <w:color w:val="000000" w:themeColor="text1" w:themeTint="FF" w:themeShade="FF"/>
        </w:rPr>
        <w:t>monitored</w:t>
      </w:r>
      <w:r w:rsidRPr="6465F1F3" w:rsidR="00551F12">
        <w:rPr>
          <w:color w:val="000000" w:themeColor="text1" w:themeTint="FF" w:themeShade="FF"/>
        </w:rPr>
        <w:t xml:space="preserve"> to ensure actions are completed in </w:t>
      </w:r>
      <w:r w:rsidRPr="6465F1F3" w:rsidR="00551F12">
        <w:rPr>
          <w:color w:val="000000" w:themeColor="text1" w:themeTint="FF" w:themeShade="FF"/>
        </w:rPr>
        <w:t>a timely</w:t>
      </w:r>
      <w:r w:rsidRPr="6465F1F3" w:rsidR="00551F12">
        <w:rPr>
          <w:color w:val="000000" w:themeColor="text1" w:themeTint="FF" w:themeShade="FF"/>
        </w:rPr>
        <w:t xml:space="preserve"> way and risks escalated in the organisation.</w:t>
      </w:r>
    </w:p>
    <w:p w:rsidR="00551F12" w:rsidP="6465F1F3" w:rsidRDefault="00551F12" w14:paraId="2BB46296" w14:textId="6856C36A" w14:noSpellErr="1">
      <w:pPr>
        <w:spacing w:line="259" w:lineRule="auto"/>
        <w:rPr>
          <w:color w:val="000000" w:themeColor="text1" w:themeTint="FF" w:themeShade="FF"/>
        </w:rPr>
      </w:pPr>
      <w:r w:rsidRPr="6465F1F3" w:rsidR="00551F12">
        <w:rPr>
          <w:color w:val="000000" w:themeColor="text1" w:themeTint="FF" w:themeShade="FF"/>
        </w:rPr>
        <w:t xml:space="preserve">Weekly </w:t>
      </w:r>
      <w:r w:rsidRPr="6465F1F3" w:rsidR="008C79C0">
        <w:rPr>
          <w:color w:val="000000" w:themeColor="text1" w:themeTint="FF" w:themeShade="FF"/>
        </w:rPr>
        <w:t>listing</w:t>
      </w:r>
      <w:r w:rsidRPr="6465F1F3" w:rsidR="00551F12">
        <w:rPr>
          <w:color w:val="000000" w:themeColor="text1" w:themeTint="FF" w:themeShade="FF"/>
        </w:rPr>
        <w:t xml:space="preserve"> reports will be circulated to </w:t>
      </w:r>
      <w:r w:rsidRPr="6465F1F3" w:rsidR="00767932">
        <w:rPr>
          <w:color w:val="000000" w:themeColor="text1" w:themeTint="FF" w:themeShade="FF"/>
        </w:rPr>
        <w:t>Place-based</w:t>
      </w:r>
      <w:r w:rsidRPr="6465F1F3" w:rsidR="00551F12">
        <w:rPr>
          <w:color w:val="000000" w:themeColor="text1" w:themeTint="FF" w:themeShade="FF"/>
        </w:rPr>
        <w:t xml:space="preserve"> directors and </w:t>
      </w:r>
      <w:r w:rsidRPr="6465F1F3" w:rsidR="008C79C0">
        <w:rPr>
          <w:color w:val="000000" w:themeColor="text1" w:themeTint="FF" w:themeShade="FF"/>
        </w:rPr>
        <w:t>relevant team leads within</w:t>
      </w:r>
      <w:r w:rsidRPr="6465F1F3" w:rsidR="00551F12">
        <w:rPr>
          <w:color w:val="000000" w:themeColor="text1" w:themeTint="FF" w:themeShade="FF"/>
        </w:rPr>
        <w:t xml:space="preserve"> SEL </w:t>
      </w:r>
      <w:r w:rsidRPr="6465F1F3" w:rsidR="008C79C0">
        <w:rPr>
          <w:color w:val="000000" w:themeColor="text1" w:themeTint="FF" w:themeShade="FF"/>
        </w:rPr>
        <w:t>ICB</w:t>
      </w:r>
      <w:r w:rsidRPr="6465F1F3" w:rsidR="00551F12">
        <w:rPr>
          <w:color w:val="000000" w:themeColor="text1" w:themeTint="FF" w:themeShade="FF"/>
        </w:rPr>
        <w:t xml:space="preserve"> for information</w:t>
      </w:r>
      <w:r w:rsidRPr="6465F1F3" w:rsidR="00551F12">
        <w:rPr>
          <w:color w:val="000000" w:themeColor="text1" w:themeTint="FF" w:themeShade="FF"/>
        </w:rPr>
        <w:t xml:space="preserve">.  </w:t>
      </w:r>
      <w:r w:rsidRPr="6465F1F3" w:rsidR="00551F12">
        <w:rPr>
          <w:color w:val="000000" w:themeColor="text1" w:themeTint="FF" w:themeShade="FF"/>
        </w:rPr>
        <w:t xml:space="preserve">A monthly report will be presented to the </w:t>
      </w:r>
      <w:r w:rsidRPr="6465F1F3" w:rsidR="008C79C0">
        <w:rPr>
          <w:color w:val="000000" w:themeColor="text1" w:themeTint="FF" w:themeShade="FF"/>
        </w:rPr>
        <w:t>Themes and Concerns Panel</w:t>
      </w:r>
      <w:r w:rsidRPr="6465F1F3" w:rsidR="00551F12">
        <w:rPr>
          <w:color w:val="000000" w:themeColor="text1" w:themeTint="FF" w:themeShade="FF"/>
        </w:rPr>
        <w:t xml:space="preserve"> </w:t>
      </w:r>
      <w:r w:rsidRPr="6465F1F3" w:rsidR="00551F12">
        <w:rPr>
          <w:color w:val="000000" w:themeColor="text1" w:themeTint="FF" w:themeShade="FF"/>
        </w:rPr>
        <w:t>highlighting trends</w:t>
      </w:r>
      <w:r w:rsidRPr="6465F1F3" w:rsidR="008C79C0">
        <w:rPr>
          <w:color w:val="000000" w:themeColor="text1" w:themeTint="FF" w:themeShade="FF"/>
        </w:rPr>
        <w:t xml:space="preserve"> and issues</w:t>
      </w:r>
      <w:r w:rsidRPr="6465F1F3" w:rsidR="00551F12">
        <w:rPr>
          <w:color w:val="000000" w:themeColor="text1" w:themeTint="FF" w:themeShade="FF"/>
        </w:rPr>
        <w:t xml:space="preserve"> arising from QAs</w:t>
      </w:r>
      <w:r w:rsidRPr="6465F1F3" w:rsidR="008C79C0">
        <w:rPr>
          <w:color w:val="000000" w:themeColor="text1" w:themeTint="FF" w:themeShade="FF"/>
        </w:rPr>
        <w:t xml:space="preserve">, </w:t>
      </w:r>
      <w:r w:rsidRPr="6465F1F3" w:rsidR="00551F12">
        <w:rPr>
          <w:color w:val="000000" w:themeColor="text1" w:themeTint="FF" w:themeShade="FF"/>
        </w:rPr>
        <w:t>alongside the SI report</w:t>
      </w:r>
      <w:r w:rsidRPr="6465F1F3" w:rsidR="00551F12">
        <w:rPr>
          <w:color w:val="000000" w:themeColor="text1" w:themeTint="FF" w:themeShade="FF"/>
        </w:rPr>
        <w:t xml:space="preserve">.  </w:t>
      </w:r>
      <w:r w:rsidRPr="6465F1F3" w:rsidR="00551F12">
        <w:rPr>
          <w:color w:val="000000" w:themeColor="text1" w:themeTint="FF" w:themeShade="FF"/>
        </w:rPr>
        <w:t xml:space="preserve">A quarterly report will be presented to the SEL </w:t>
      </w:r>
      <w:r w:rsidRPr="6465F1F3" w:rsidR="008C79C0">
        <w:rPr>
          <w:color w:val="000000" w:themeColor="text1" w:themeTint="FF" w:themeShade="FF"/>
        </w:rPr>
        <w:t>ICB Quality and Performance Committee</w:t>
      </w:r>
      <w:r w:rsidRPr="6465F1F3" w:rsidR="00551F12">
        <w:rPr>
          <w:color w:val="000000" w:themeColor="text1" w:themeTint="FF" w:themeShade="FF"/>
        </w:rPr>
        <w:t xml:space="preserve">.  </w:t>
      </w:r>
      <w:r w:rsidRPr="6465F1F3" w:rsidR="00551F12">
        <w:rPr>
          <w:color w:val="000000" w:themeColor="text1" w:themeTint="FF" w:themeShade="FF"/>
        </w:rPr>
        <w:t xml:space="preserve">This report will also be provided to organisations within the Integrated Care system. </w:t>
      </w:r>
    </w:p>
    <w:p w:rsidR="008604B1" w:rsidP="6465F1F3" w:rsidRDefault="008604B1" w14:paraId="26B02EFF" w14:textId="77777777" w14:noSpellErr="1">
      <w:pPr>
        <w:spacing w:line="259" w:lineRule="auto"/>
        <w:rPr>
          <w:color w:val="000000" w:themeColor="text1" w:themeTint="FF" w:themeShade="FF"/>
        </w:rPr>
      </w:pPr>
    </w:p>
    <w:p w:rsidR="003611B0" w:rsidP="6465F1F3" w:rsidRDefault="003611B0" w14:paraId="53EBD849" w14:textId="629CD30E" w14:noSpellErr="1">
      <w:pPr>
        <w:rPr>
          <w:color w:val="000000" w:themeColor="text1" w:themeTint="FF" w:themeShade="FF"/>
        </w:rPr>
      </w:pPr>
      <w:r w:rsidRPr="6465F1F3">
        <w:rPr>
          <w:color w:val="000000" w:themeColor="text1" w:themeTint="FF" w:themeShade="FF"/>
        </w:rPr>
        <w:br w:type="page"/>
      </w:r>
    </w:p>
    <w:p w:rsidR="00DC7ACF" w:rsidP="6465F1F3" w:rsidRDefault="00DC7ACF" w14:paraId="3559B0EE" w14:textId="77777777" w14:noSpellErr="1">
      <w:pPr>
        <w:rPr>
          <w:color w:val="000000" w:themeColor="text1" w:themeTint="FF" w:themeShade="FF"/>
        </w:rPr>
      </w:pPr>
    </w:p>
    <w:p w:rsidRPr="00477285" w:rsidR="00DC7ACF" w:rsidP="6465F1F3" w:rsidRDefault="00DC7ACF" w14:paraId="45165A74" w14:textId="24797BCE" w14:noSpellErr="1">
      <w:pPr>
        <w:rPr>
          <w:b w:val="1"/>
          <w:bCs w:val="1"/>
          <w:color w:val="000000" w:themeColor="text1" w:themeTint="FF" w:themeShade="FF"/>
        </w:rPr>
      </w:pPr>
      <w:r w:rsidRPr="6465F1F3" w:rsidR="00DC7ACF">
        <w:rPr>
          <w:b w:val="1"/>
          <w:bCs w:val="1"/>
          <w:color w:val="000000" w:themeColor="text1" w:themeTint="FF" w:themeShade="FF"/>
        </w:rPr>
        <w:t xml:space="preserve">Appendix </w:t>
      </w:r>
      <w:r w:rsidRPr="6465F1F3" w:rsidR="00DC7ACF">
        <w:rPr>
          <w:b w:val="1"/>
          <w:bCs w:val="1"/>
          <w:color w:val="000000" w:themeColor="text1" w:themeTint="FF" w:themeShade="FF"/>
        </w:rPr>
        <w:t>1</w:t>
      </w:r>
      <w:r w:rsidRPr="6465F1F3" w:rsidR="00DC7ACF">
        <w:rPr>
          <w:b w:val="1"/>
          <w:bCs w:val="1"/>
          <w:color w:val="000000" w:themeColor="text1" w:themeTint="FF" w:themeShade="FF"/>
        </w:rPr>
        <w:t xml:space="preserve"> - Equality &amp; Equity Impact Assessment Checklist </w:t>
      </w:r>
    </w:p>
    <w:p w:rsidR="00DC7ACF" w:rsidP="6465F1F3" w:rsidRDefault="00DC7ACF" w14:paraId="0598E37E" w14:textId="77777777" w14:noSpellErr="1">
      <w:pPr>
        <w:rPr>
          <w:color w:val="000000" w:themeColor="text1" w:themeTint="FF" w:themeShade="FF"/>
        </w:rPr>
      </w:pPr>
      <w:r w:rsidRPr="6465F1F3" w:rsidR="00DC7ACF">
        <w:rPr>
          <w:color w:val="000000" w:themeColor="text1" w:themeTint="FF" w:themeShade="FF"/>
        </w:rPr>
        <w:t xml:space="preserve">This is a checklist to ensure relevant equality and equity aspects of proposals have been addressed either in the main body of the document or in a separate equality &amp; equity impact assessment (EEIA)/ equality analysis. It is not a substitute for an EEIA which is </w:t>
      </w:r>
      <w:r w:rsidRPr="6465F1F3" w:rsidR="00DC7ACF">
        <w:rPr>
          <w:color w:val="000000" w:themeColor="text1" w:themeTint="FF" w:themeShade="FF"/>
        </w:rPr>
        <w:t>required</w:t>
      </w:r>
      <w:r w:rsidRPr="6465F1F3" w:rsidR="00DC7ACF">
        <w:rPr>
          <w:color w:val="000000" w:themeColor="text1" w:themeTint="FF" w:themeShade="FF"/>
        </w:rPr>
        <w:t xml:space="preserve"> unless it can be shown that a proposal has no </w:t>
      </w:r>
      <w:r w:rsidRPr="6465F1F3" w:rsidR="00DC7ACF">
        <w:rPr>
          <w:color w:val="000000" w:themeColor="text1" w:themeTint="FF" w:themeShade="FF"/>
        </w:rPr>
        <w:t>capacity</w:t>
      </w:r>
      <w:r w:rsidRPr="6465F1F3" w:rsidR="00DC7ACF">
        <w:rPr>
          <w:color w:val="000000" w:themeColor="text1" w:themeTint="FF" w:themeShade="FF"/>
        </w:rPr>
        <w:t xml:space="preserve"> to influence equality. The checklist is to enable the </w:t>
      </w:r>
      <w:r w:rsidRPr="6465F1F3" w:rsidR="00DC7ACF">
        <w:rPr>
          <w:color w:val="000000" w:themeColor="text1" w:themeTint="FF" w:themeShade="FF"/>
        </w:rPr>
        <w:t>procedure</w:t>
      </w:r>
      <w:r w:rsidRPr="6465F1F3" w:rsidR="00DC7ACF">
        <w:rPr>
          <w:color w:val="000000" w:themeColor="text1" w:themeTint="FF" w:themeShade="FF"/>
        </w:rPr>
        <w:t xml:space="preserve"> lead and the relevant committee to see whether an EEIA is </w:t>
      </w:r>
      <w:r w:rsidRPr="6465F1F3" w:rsidR="00DC7ACF">
        <w:rPr>
          <w:color w:val="000000" w:themeColor="text1" w:themeTint="FF" w:themeShade="FF"/>
        </w:rPr>
        <w:t>required</w:t>
      </w:r>
      <w:r w:rsidRPr="6465F1F3" w:rsidR="00DC7ACF">
        <w:rPr>
          <w:color w:val="000000" w:themeColor="text1" w:themeTint="FF" w:themeShade="FF"/>
        </w:rPr>
        <w:t xml:space="preserve"> and to give assurance that the proposals will be legal, fair, and </w:t>
      </w:r>
      <w:r w:rsidRPr="6465F1F3" w:rsidR="00DC7ACF">
        <w:rPr>
          <w:color w:val="000000" w:themeColor="text1" w:themeTint="FF" w:themeShade="FF"/>
        </w:rPr>
        <w:t>equitable</w:t>
      </w:r>
      <w:r w:rsidRPr="6465F1F3" w:rsidR="00DC7ACF">
        <w:rPr>
          <w:color w:val="000000" w:themeColor="text1" w:themeTint="FF" w:themeShade="FF"/>
        </w:rPr>
        <w:t xml:space="preserve">. The word proposal is a generic term for any </w:t>
      </w:r>
      <w:r w:rsidRPr="6465F1F3" w:rsidR="00DC7ACF">
        <w:rPr>
          <w:color w:val="000000" w:themeColor="text1" w:themeTint="FF" w:themeShade="FF"/>
        </w:rPr>
        <w:t>procedure</w:t>
      </w:r>
      <w:r w:rsidRPr="6465F1F3" w:rsidR="00DC7ACF">
        <w:rPr>
          <w:color w:val="000000" w:themeColor="text1" w:themeTint="FF" w:themeShade="FF"/>
        </w:rPr>
        <w:t>, procedure or strategy that requires assessment.</w:t>
      </w:r>
    </w:p>
    <w:p w:rsidRPr="00477285" w:rsidR="003611B0" w:rsidP="00DC7ACF" w:rsidRDefault="003611B0" w14:paraId="17165D6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1158"/>
        <w:gridCol w:w="3464"/>
      </w:tblGrid>
      <w:tr w:rsidRPr="00477285" w:rsidR="00DC7ACF" w:rsidTr="00AC3764" w14:paraId="3E620379" w14:textId="77777777">
        <w:tc>
          <w:tcPr>
            <w:tcW w:w="675" w:type="dxa"/>
          </w:tcPr>
          <w:p w:rsidRPr="00477285" w:rsidR="00DC7ACF" w:rsidP="00AC3764" w:rsidRDefault="00DC7ACF" w14:paraId="555C19F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495CCD41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Challenge questions</w:t>
            </w:r>
          </w:p>
        </w:tc>
        <w:tc>
          <w:tcPr>
            <w:tcW w:w="1158" w:type="dxa"/>
          </w:tcPr>
          <w:p w:rsidRPr="00477285" w:rsidR="00DC7ACF" w:rsidP="00AC3764" w:rsidRDefault="00DC7ACF" w14:paraId="083B1D1E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3464" w:type="dxa"/>
          </w:tcPr>
          <w:p w:rsidRPr="00477285" w:rsidR="00DC7ACF" w:rsidP="00AC3764" w:rsidRDefault="00DC7ACF" w14:paraId="5ED8CDF4" w14:textId="77777777">
            <w:pPr>
              <w:rPr>
                <w:rFonts w:ascii="Arial" w:hAnsi="Arial" w:cs="Arial"/>
                <w:b/>
                <w:bCs/>
              </w:rPr>
            </w:pPr>
            <w:r w:rsidRPr="00477285">
              <w:rPr>
                <w:rFonts w:ascii="Arial" w:hAnsi="Arial" w:cs="Arial"/>
                <w:b/>
                <w:bCs/>
              </w:rPr>
              <w:t>What positive or negative impact do you assess there may be</w:t>
            </w:r>
          </w:p>
        </w:tc>
      </w:tr>
      <w:tr w:rsidRPr="00477285" w:rsidR="00DC7ACF" w:rsidTr="00AC3764" w14:paraId="1C357AEE" w14:textId="77777777">
        <w:tc>
          <w:tcPr>
            <w:tcW w:w="675" w:type="dxa"/>
          </w:tcPr>
          <w:p w:rsidRPr="00477285" w:rsidR="00DC7ACF" w:rsidP="00DC7ACF" w:rsidRDefault="00DC7ACF" w14:paraId="512C2022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24D996C3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Does the proposal affect one group favourably than another on the basis of:</w:t>
            </w:r>
          </w:p>
        </w:tc>
        <w:tc>
          <w:tcPr>
            <w:tcW w:w="1158" w:type="dxa"/>
          </w:tcPr>
          <w:p w:rsidRPr="00477285" w:rsidR="00DC7ACF" w:rsidP="00AC3764" w:rsidRDefault="00DC7ACF" w14:paraId="4A798B95" w14:textId="77777777">
            <w:pPr>
              <w:rPr>
                <w:rFonts w:ascii="Arial" w:hAnsi="Arial" w:cs="Arial"/>
              </w:rPr>
            </w:pPr>
          </w:p>
        </w:tc>
        <w:tc>
          <w:tcPr>
            <w:tcW w:w="3464" w:type="dxa"/>
          </w:tcPr>
          <w:p w:rsidRPr="00477285" w:rsidR="00DC7ACF" w:rsidP="00AC3764" w:rsidRDefault="00DC7ACF" w14:paraId="33ECBDAE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3E64CEE9" w14:textId="77777777">
        <w:tc>
          <w:tcPr>
            <w:tcW w:w="675" w:type="dxa"/>
          </w:tcPr>
          <w:p w:rsidRPr="00477285" w:rsidR="00DC7ACF" w:rsidP="00AC3764" w:rsidRDefault="00DC7ACF" w14:paraId="4AB9B136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50D039A9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Race</w:t>
            </w:r>
          </w:p>
        </w:tc>
        <w:tc>
          <w:tcPr>
            <w:tcW w:w="1158" w:type="dxa"/>
          </w:tcPr>
          <w:p w:rsidRPr="00477285" w:rsidR="00DC7ACF" w:rsidP="00AC3764" w:rsidRDefault="00DC7ACF" w14:paraId="5F40E87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58227EBC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402850F2" w14:textId="77777777">
        <w:tc>
          <w:tcPr>
            <w:tcW w:w="675" w:type="dxa"/>
          </w:tcPr>
          <w:p w:rsidRPr="00477285" w:rsidR="00DC7ACF" w:rsidP="00AC3764" w:rsidRDefault="00DC7ACF" w14:paraId="3C62879A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2AF8F94F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158" w:type="dxa"/>
          </w:tcPr>
          <w:p w:rsidRPr="00477285" w:rsidR="00DC7ACF" w:rsidP="00AC3764" w:rsidRDefault="00DC7ACF" w14:paraId="2C8127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71E02CEC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0C94F2CB" w14:textId="77777777">
        <w:tc>
          <w:tcPr>
            <w:tcW w:w="675" w:type="dxa"/>
          </w:tcPr>
          <w:p w:rsidRPr="00477285" w:rsidR="00DC7ACF" w:rsidP="00AC3764" w:rsidRDefault="00DC7ACF" w14:paraId="65B62D74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18FA974E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Sex</w:t>
            </w:r>
          </w:p>
        </w:tc>
        <w:tc>
          <w:tcPr>
            <w:tcW w:w="1158" w:type="dxa"/>
          </w:tcPr>
          <w:p w:rsidRPr="00477285" w:rsidR="00DC7ACF" w:rsidP="00AC3764" w:rsidRDefault="00DC7ACF" w14:paraId="608B4ED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5B5CA78F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34D91203" w14:textId="77777777">
        <w:tc>
          <w:tcPr>
            <w:tcW w:w="675" w:type="dxa"/>
          </w:tcPr>
          <w:p w:rsidRPr="00477285" w:rsidR="00DC7ACF" w:rsidP="00AC3764" w:rsidRDefault="00DC7ACF" w14:paraId="4933010E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44BC4F7A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Gender and Gender Reassignment</w:t>
            </w:r>
          </w:p>
        </w:tc>
        <w:tc>
          <w:tcPr>
            <w:tcW w:w="1158" w:type="dxa"/>
          </w:tcPr>
          <w:p w:rsidRPr="00477285" w:rsidR="00DC7ACF" w:rsidP="00AC3764" w:rsidRDefault="00DC7ACF" w14:paraId="0741C98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01DDCB9E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6AA4CBEF" w14:textId="77777777">
        <w:tc>
          <w:tcPr>
            <w:tcW w:w="675" w:type="dxa"/>
          </w:tcPr>
          <w:p w:rsidRPr="00477285" w:rsidR="00DC7ACF" w:rsidP="00AC3764" w:rsidRDefault="00DC7ACF" w14:paraId="0694DDFA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181484FB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Marriage or Civil Partnership</w:t>
            </w:r>
          </w:p>
        </w:tc>
        <w:tc>
          <w:tcPr>
            <w:tcW w:w="1158" w:type="dxa"/>
          </w:tcPr>
          <w:p w:rsidRPr="00477285" w:rsidR="00DC7ACF" w:rsidP="00AC3764" w:rsidRDefault="00DC7ACF" w14:paraId="663E5D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019FCDBF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0BDB2E89" w14:textId="77777777">
        <w:tc>
          <w:tcPr>
            <w:tcW w:w="675" w:type="dxa"/>
          </w:tcPr>
          <w:p w:rsidRPr="00477285" w:rsidR="00DC7ACF" w:rsidP="00AC3764" w:rsidRDefault="00DC7ACF" w14:paraId="4F308ED4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14E43BC0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Religion or belief</w:t>
            </w:r>
          </w:p>
        </w:tc>
        <w:tc>
          <w:tcPr>
            <w:tcW w:w="1158" w:type="dxa"/>
          </w:tcPr>
          <w:p w:rsidRPr="00477285" w:rsidR="00DC7ACF" w:rsidP="00AC3764" w:rsidRDefault="00DC7ACF" w14:paraId="12D4FB5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0FBAC9C4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213B3357" w14:textId="77777777">
        <w:tc>
          <w:tcPr>
            <w:tcW w:w="675" w:type="dxa"/>
          </w:tcPr>
          <w:p w:rsidRPr="00477285" w:rsidR="00DC7ACF" w:rsidP="00AC3764" w:rsidRDefault="00DC7ACF" w14:paraId="7294F870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580BC324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Sexual orientation (including lesbian, gay, bisexual, and transgender persons)</w:t>
            </w:r>
          </w:p>
        </w:tc>
        <w:tc>
          <w:tcPr>
            <w:tcW w:w="1158" w:type="dxa"/>
          </w:tcPr>
          <w:p w:rsidRPr="00477285" w:rsidR="00DC7ACF" w:rsidP="00AC3764" w:rsidRDefault="00DC7ACF" w14:paraId="564A2FF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771FFD09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2F8279C5" w14:textId="77777777">
        <w:tc>
          <w:tcPr>
            <w:tcW w:w="675" w:type="dxa"/>
          </w:tcPr>
          <w:p w:rsidRPr="00477285" w:rsidR="00DC7ACF" w:rsidP="00AC3764" w:rsidRDefault="00DC7ACF" w14:paraId="772D47D3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1F2964D6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Will the proposal have an impact on lifestyle?</w:t>
            </w:r>
          </w:p>
          <w:p w:rsidRPr="00477285" w:rsidR="00DC7ACF" w:rsidP="00DC7ACF" w:rsidRDefault="00DC7ACF" w14:paraId="120E30E6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(e.g. diet and nutrition, exercise, physical activity, substance use, risk taking behaviour, education, and learning)</w:t>
            </w:r>
          </w:p>
        </w:tc>
        <w:tc>
          <w:tcPr>
            <w:tcW w:w="1158" w:type="dxa"/>
          </w:tcPr>
          <w:p w:rsidRPr="00477285" w:rsidR="00DC7ACF" w:rsidP="00AC3764" w:rsidRDefault="00DC7ACF" w14:paraId="4576A22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7337674A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4D5388C2" w14:textId="77777777">
        <w:tc>
          <w:tcPr>
            <w:tcW w:w="675" w:type="dxa"/>
          </w:tcPr>
          <w:p w:rsidRPr="00477285" w:rsidR="00DC7ACF" w:rsidP="00AC3764" w:rsidRDefault="00DC7ACF" w14:paraId="3B864605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29390449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Age</w:t>
            </w:r>
          </w:p>
        </w:tc>
        <w:tc>
          <w:tcPr>
            <w:tcW w:w="1158" w:type="dxa"/>
          </w:tcPr>
          <w:p w:rsidRPr="00477285" w:rsidR="00DC7ACF" w:rsidP="00AC3764" w:rsidRDefault="00DC7ACF" w14:paraId="0B662F8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6A39FAB3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3271F02E" w14:textId="77777777">
        <w:tc>
          <w:tcPr>
            <w:tcW w:w="675" w:type="dxa"/>
          </w:tcPr>
          <w:p w:rsidRPr="00477285" w:rsidR="00DC7ACF" w:rsidP="00AC3764" w:rsidRDefault="00DC7ACF" w14:paraId="18B24B41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DC7ACF" w:rsidRDefault="00DC7ACF" w14:paraId="0AFDA8C0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Disability (including learning disabilities, physical disability, sensory impairment, and mental health problems)</w:t>
            </w:r>
          </w:p>
        </w:tc>
        <w:tc>
          <w:tcPr>
            <w:tcW w:w="1158" w:type="dxa"/>
          </w:tcPr>
          <w:p w:rsidRPr="00477285" w:rsidR="00DC7ACF" w:rsidP="00AC3764" w:rsidRDefault="00DC7ACF" w14:paraId="403F80B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5F3940A5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33A3B151" w14:textId="77777777">
        <w:tc>
          <w:tcPr>
            <w:tcW w:w="675" w:type="dxa"/>
          </w:tcPr>
          <w:p w:rsidRPr="00477285" w:rsidR="00DC7ACF" w:rsidP="00DC7ACF" w:rsidRDefault="00DC7ACF" w14:paraId="5817E050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27054178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Will the proposal have an impact on social environment?</w:t>
            </w:r>
          </w:p>
          <w:p w:rsidRPr="00477285" w:rsidR="00DC7ACF" w:rsidP="00AC3764" w:rsidRDefault="00DC7ACF" w14:paraId="0FAD5B5C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(e.g. social status, employment, social/family support, stress income)</w:t>
            </w:r>
          </w:p>
        </w:tc>
        <w:tc>
          <w:tcPr>
            <w:tcW w:w="1158" w:type="dxa"/>
          </w:tcPr>
          <w:p w:rsidRPr="00477285" w:rsidR="00DC7ACF" w:rsidP="00AC3764" w:rsidRDefault="00DC7ACF" w14:paraId="089685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1198F2B5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22541A73" w14:textId="77777777">
        <w:tc>
          <w:tcPr>
            <w:tcW w:w="675" w:type="dxa"/>
          </w:tcPr>
          <w:p w:rsidRPr="00477285" w:rsidR="00DC7ACF" w:rsidP="00DC7ACF" w:rsidRDefault="00DC7ACF" w14:paraId="29D646AC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1C61EA96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Will the proposal have an impact on physical environment?</w:t>
            </w:r>
          </w:p>
          <w:p w:rsidRPr="00477285" w:rsidR="00DC7ACF" w:rsidP="00AC3764" w:rsidRDefault="00DC7ACF" w14:paraId="73713583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(e.g. living conditions, working conditions, pollution or climate change, accidental injury, public safety, transmission of infectious disease)</w:t>
            </w:r>
          </w:p>
        </w:tc>
        <w:tc>
          <w:tcPr>
            <w:tcW w:w="1158" w:type="dxa"/>
          </w:tcPr>
          <w:p w:rsidRPr="00477285" w:rsidR="00DC7ACF" w:rsidP="00AC3764" w:rsidRDefault="00DC7ACF" w14:paraId="591EC5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0C7FEA81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600F1BF3" w14:textId="77777777">
        <w:tc>
          <w:tcPr>
            <w:tcW w:w="675" w:type="dxa"/>
          </w:tcPr>
          <w:p w:rsidRPr="00477285" w:rsidR="00DC7ACF" w:rsidP="00DC7ACF" w:rsidRDefault="00DC7ACF" w14:paraId="0F87817A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5C7ED4AC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Will the proposal affect access to or experience of services?</w:t>
            </w:r>
          </w:p>
          <w:p w:rsidRPr="00477285" w:rsidR="00DC7ACF" w:rsidP="00AC3764" w:rsidRDefault="00DC7ACF" w14:paraId="08B1C2E6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(e.g. Health care, Transport, Social Services, Housing Services, Education)</w:t>
            </w:r>
          </w:p>
        </w:tc>
        <w:tc>
          <w:tcPr>
            <w:tcW w:w="1158" w:type="dxa"/>
          </w:tcPr>
          <w:p w:rsidRPr="00477285" w:rsidR="00DC7ACF" w:rsidP="00AC3764" w:rsidRDefault="00DC7ACF" w14:paraId="268EA11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64" w:type="dxa"/>
          </w:tcPr>
          <w:p w:rsidRPr="00477285" w:rsidR="00DC7ACF" w:rsidP="00AC3764" w:rsidRDefault="00DC7ACF" w14:paraId="48C59C6F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19308FB0" w14:textId="77777777">
        <w:tc>
          <w:tcPr>
            <w:tcW w:w="675" w:type="dxa"/>
          </w:tcPr>
          <w:p w:rsidRPr="00477285" w:rsidR="00DC7ACF" w:rsidP="00AC3764" w:rsidRDefault="00DC7ACF" w14:paraId="3EB01A03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04E2ABA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Procedure</w:t>
            </w:r>
            <w:r w:rsidRPr="00477285">
              <w:rPr>
                <w:rFonts w:ascii="Arial" w:hAnsi="Arial" w:cs="Arial"/>
              </w:rPr>
              <w:t xml:space="preserve"> Author</w:t>
            </w:r>
          </w:p>
        </w:tc>
        <w:tc>
          <w:tcPr>
            <w:tcW w:w="1158" w:type="dxa"/>
          </w:tcPr>
          <w:p w:rsidR="00DC7ACF" w:rsidP="00AC3764" w:rsidRDefault="00DC7ACF" w14:paraId="06E0C360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Date</w:t>
            </w:r>
          </w:p>
          <w:p w:rsidRPr="00477285" w:rsidR="00DC7ACF" w:rsidP="00AC3764" w:rsidRDefault="00DC7ACF" w14:paraId="77B3DDD6" w14:textId="114DFE60">
            <w:pPr>
              <w:rPr>
                <w:rFonts w:ascii="Arial" w:hAnsi="Arial" w:cs="Arial"/>
              </w:rPr>
            </w:pPr>
          </w:p>
        </w:tc>
        <w:tc>
          <w:tcPr>
            <w:tcW w:w="3464" w:type="dxa"/>
          </w:tcPr>
          <w:p w:rsidRPr="00477285" w:rsidR="00DC7ACF" w:rsidP="00AC3764" w:rsidRDefault="00DC7ACF" w14:paraId="4A526223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Signature</w:t>
            </w:r>
          </w:p>
          <w:p w:rsidRPr="00477285" w:rsidR="00DC7ACF" w:rsidP="00AC3764" w:rsidRDefault="00DC7ACF" w14:paraId="558BBB3F" w14:textId="77777777">
            <w:pPr>
              <w:rPr>
                <w:rFonts w:ascii="Arial" w:hAnsi="Arial" w:cs="Arial"/>
              </w:rPr>
            </w:pPr>
          </w:p>
          <w:p w:rsidRPr="00477285" w:rsidR="00DC7ACF" w:rsidP="00AC3764" w:rsidRDefault="00DC7ACF" w14:paraId="6C9B3441" w14:textId="77777777">
            <w:pPr>
              <w:rPr>
                <w:rFonts w:ascii="Arial" w:hAnsi="Arial" w:cs="Arial"/>
              </w:rPr>
            </w:pPr>
          </w:p>
        </w:tc>
      </w:tr>
      <w:tr w:rsidRPr="00477285" w:rsidR="00DC7ACF" w:rsidTr="00AC3764" w14:paraId="54A03B50" w14:textId="77777777">
        <w:tc>
          <w:tcPr>
            <w:tcW w:w="675" w:type="dxa"/>
          </w:tcPr>
          <w:p w:rsidRPr="00477285" w:rsidR="00DC7ACF" w:rsidP="00AC3764" w:rsidRDefault="00DC7ACF" w14:paraId="7704FFF7" w14:textId="77777777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:rsidRPr="00477285" w:rsidR="00DC7ACF" w:rsidP="00AC3764" w:rsidRDefault="00DC7ACF" w14:paraId="15DCAD4E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Equalities Manager</w:t>
            </w:r>
          </w:p>
        </w:tc>
        <w:tc>
          <w:tcPr>
            <w:tcW w:w="1158" w:type="dxa"/>
          </w:tcPr>
          <w:p w:rsidRPr="00477285" w:rsidR="00DC7ACF" w:rsidP="00AC3764" w:rsidRDefault="00DC7ACF" w14:paraId="4DF14581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Date</w:t>
            </w:r>
          </w:p>
        </w:tc>
        <w:tc>
          <w:tcPr>
            <w:tcW w:w="3464" w:type="dxa"/>
          </w:tcPr>
          <w:p w:rsidRPr="00477285" w:rsidR="00DC7ACF" w:rsidP="00AC3764" w:rsidRDefault="00DC7ACF" w14:paraId="3C043A3C" w14:textId="77777777">
            <w:pPr>
              <w:rPr>
                <w:rFonts w:ascii="Arial" w:hAnsi="Arial" w:cs="Arial"/>
              </w:rPr>
            </w:pPr>
            <w:r w:rsidRPr="00477285">
              <w:rPr>
                <w:rFonts w:ascii="Arial" w:hAnsi="Arial" w:cs="Arial"/>
              </w:rPr>
              <w:t>Signature</w:t>
            </w:r>
          </w:p>
          <w:p w:rsidRPr="00477285" w:rsidR="00DC7ACF" w:rsidP="00AC3764" w:rsidRDefault="00DC7ACF" w14:paraId="093AD782" w14:textId="77777777">
            <w:pPr>
              <w:rPr>
                <w:rFonts w:ascii="Arial" w:hAnsi="Arial" w:cs="Arial"/>
              </w:rPr>
            </w:pPr>
          </w:p>
          <w:p w:rsidRPr="00477285" w:rsidR="00DC7ACF" w:rsidP="00AC3764" w:rsidRDefault="00DC7ACF" w14:paraId="316A432F" w14:textId="77777777">
            <w:pPr>
              <w:rPr>
                <w:rFonts w:ascii="Arial" w:hAnsi="Arial" w:cs="Arial"/>
              </w:rPr>
            </w:pPr>
          </w:p>
        </w:tc>
      </w:tr>
    </w:tbl>
    <w:p w:rsidRPr="00477285" w:rsidR="00DC7ACF" w:rsidP="00DC7ACF" w:rsidRDefault="00DC7ACF" w14:paraId="221052B7" w14:textId="77777777"/>
    <w:p w:rsidRPr="00BE5063" w:rsidR="00551F12" w:rsidP="00741581" w:rsidRDefault="00551F12" w14:paraId="48BEDD3F" w14:textId="77777777"/>
    <w:sectPr w:rsidRPr="00BE5063" w:rsidR="00551F12" w:rsidSect="004C7865">
      <w:headerReference w:type="default" r:id="rId21"/>
      <w:footerReference w:type="default" r:id="rId22"/>
      <w:pgSz w:w="11906" w:h="16838" w:orient="portrait"/>
      <w:pgMar w:top="1440" w:right="849" w:bottom="568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B2C" w:rsidP="00150175" w:rsidRDefault="00413B2C" w14:paraId="7EB7744A" w14:textId="77777777">
      <w:r>
        <w:separator/>
      </w:r>
    </w:p>
  </w:endnote>
  <w:endnote w:type="continuationSeparator" w:id="0">
    <w:p w:rsidR="00413B2C" w:rsidP="00150175" w:rsidRDefault="00413B2C" w14:paraId="007B51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0175" w:rsidR="00150175" w:rsidRDefault="00150175" w14:paraId="36B75363" w14:textId="77777777">
    <w:pPr>
      <w:pStyle w:val="Footer"/>
      <w:jc w:val="center"/>
      <w:rPr>
        <w:sz w:val="16"/>
        <w:szCs w:val="16"/>
      </w:rPr>
    </w:pPr>
    <w:r w:rsidRPr="00150175">
      <w:rPr>
        <w:sz w:val="16"/>
        <w:szCs w:val="16"/>
      </w:rPr>
      <w:t xml:space="preserve">Page </w:t>
    </w:r>
    <w:r w:rsidRPr="00150175">
      <w:rPr>
        <w:sz w:val="16"/>
        <w:szCs w:val="16"/>
      </w:rPr>
      <w:fldChar w:fldCharType="begin"/>
    </w:r>
    <w:r w:rsidRPr="00150175">
      <w:rPr>
        <w:sz w:val="16"/>
        <w:szCs w:val="16"/>
      </w:rPr>
      <w:instrText xml:space="preserve"> PAGE  \* Arabic  \* MERGEFORMAT </w:instrText>
    </w:r>
    <w:r w:rsidRPr="00150175">
      <w:rPr>
        <w:sz w:val="16"/>
        <w:szCs w:val="16"/>
      </w:rPr>
      <w:fldChar w:fldCharType="separate"/>
    </w:r>
    <w:r w:rsidRPr="00150175">
      <w:rPr>
        <w:noProof/>
        <w:sz w:val="16"/>
        <w:szCs w:val="16"/>
      </w:rPr>
      <w:t>2</w:t>
    </w:r>
    <w:r w:rsidRPr="00150175">
      <w:rPr>
        <w:sz w:val="16"/>
        <w:szCs w:val="16"/>
      </w:rPr>
      <w:fldChar w:fldCharType="end"/>
    </w:r>
    <w:r w:rsidRPr="00150175">
      <w:rPr>
        <w:sz w:val="16"/>
        <w:szCs w:val="16"/>
      </w:rPr>
      <w:t xml:space="preserve"> of </w:t>
    </w:r>
    <w:r w:rsidRPr="00150175">
      <w:rPr>
        <w:sz w:val="16"/>
        <w:szCs w:val="16"/>
      </w:rPr>
      <w:fldChar w:fldCharType="begin"/>
    </w:r>
    <w:r w:rsidRPr="00150175">
      <w:rPr>
        <w:sz w:val="16"/>
        <w:szCs w:val="16"/>
      </w:rPr>
      <w:instrText xml:space="preserve"> NUMPAGES  \* Arabic  \* MERGEFORMAT </w:instrText>
    </w:r>
    <w:r w:rsidRPr="00150175">
      <w:rPr>
        <w:sz w:val="16"/>
        <w:szCs w:val="16"/>
      </w:rPr>
      <w:fldChar w:fldCharType="separate"/>
    </w:r>
    <w:r w:rsidRPr="00150175">
      <w:rPr>
        <w:noProof/>
        <w:sz w:val="16"/>
        <w:szCs w:val="16"/>
      </w:rPr>
      <w:t>2</w:t>
    </w:r>
    <w:r w:rsidRPr="00150175">
      <w:rPr>
        <w:sz w:val="16"/>
        <w:szCs w:val="16"/>
      </w:rPr>
      <w:fldChar w:fldCharType="end"/>
    </w:r>
  </w:p>
  <w:p w:rsidR="00150175" w:rsidRDefault="00150175" w14:paraId="2EFE55C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B2C" w:rsidP="00150175" w:rsidRDefault="00413B2C" w14:paraId="4671BDE7" w14:textId="77777777">
      <w:r>
        <w:separator/>
      </w:r>
    </w:p>
  </w:footnote>
  <w:footnote w:type="continuationSeparator" w:id="0">
    <w:p w:rsidR="00413B2C" w:rsidP="00150175" w:rsidRDefault="00413B2C" w14:paraId="53F3AC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0175" w:rsidP="00150175" w:rsidRDefault="00150175" w14:paraId="775D8220" w14:textId="53348D6D">
    <w:pPr>
      <w:pStyle w:val="Header"/>
      <w:jc w:val="right"/>
    </w:pPr>
    <w:r>
      <w:t> </w:t>
    </w:r>
    <w:r>
      <w:rPr>
        <w:noProof/>
      </w:rPr>
      <w:drawing>
        <wp:inline distT="0" distB="0" distL="0" distR="0" wp14:anchorId="13078888" wp14:editId="65A7F4AE">
          <wp:extent cx="1155796" cy="504473"/>
          <wp:effectExtent l="0" t="0" r="6350" b="0"/>
          <wp:docPr id="847756276" name="Picture 847756276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272" cy="50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0175" w:rsidRDefault="00150175" w14:paraId="1339DD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0FD"/>
    <w:multiLevelType w:val="hybridMultilevel"/>
    <w:tmpl w:val="A132820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C77DE"/>
    <w:multiLevelType w:val="multilevel"/>
    <w:tmpl w:val="96B2D8E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6D0665"/>
    <w:multiLevelType w:val="multilevel"/>
    <w:tmpl w:val="115EAA30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F1739F7"/>
    <w:multiLevelType w:val="hybridMultilevel"/>
    <w:tmpl w:val="B22242BE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AE533B3"/>
    <w:multiLevelType w:val="hybridMultilevel"/>
    <w:tmpl w:val="0A5E2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968BA"/>
    <w:multiLevelType w:val="hybridMultilevel"/>
    <w:tmpl w:val="B22242B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4C6F58"/>
    <w:multiLevelType w:val="hybridMultilevel"/>
    <w:tmpl w:val="D70A4C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93F6E"/>
    <w:multiLevelType w:val="hybridMultilevel"/>
    <w:tmpl w:val="1D2EC6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3AAB"/>
    <w:multiLevelType w:val="multilevel"/>
    <w:tmpl w:val="988217F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8BF0E64"/>
    <w:multiLevelType w:val="multilevel"/>
    <w:tmpl w:val="F6EA01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6669462">
    <w:abstractNumId w:val="2"/>
  </w:num>
  <w:num w:numId="2" w16cid:durableId="695547219">
    <w:abstractNumId w:val="1"/>
  </w:num>
  <w:num w:numId="3" w16cid:durableId="2012367460">
    <w:abstractNumId w:val="0"/>
  </w:num>
  <w:num w:numId="4" w16cid:durableId="283773704">
    <w:abstractNumId w:val="3"/>
  </w:num>
  <w:num w:numId="5" w16cid:durableId="408776759">
    <w:abstractNumId w:val="5"/>
  </w:num>
  <w:num w:numId="6" w16cid:durableId="1096170398">
    <w:abstractNumId w:val="6"/>
  </w:num>
  <w:num w:numId="7" w16cid:durableId="1545602692">
    <w:abstractNumId w:val="9"/>
  </w:num>
  <w:num w:numId="8" w16cid:durableId="736785051">
    <w:abstractNumId w:val="8"/>
  </w:num>
  <w:num w:numId="9" w16cid:durableId="2067951278">
    <w:abstractNumId w:val="4"/>
  </w:num>
  <w:num w:numId="10" w16cid:durableId="143801953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75"/>
    <w:rsid w:val="000340EA"/>
    <w:rsid w:val="000D46FB"/>
    <w:rsid w:val="00140DE9"/>
    <w:rsid w:val="00150175"/>
    <w:rsid w:val="001540EF"/>
    <w:rsid w:val="00160838"/>
    <w:rsid w:val="0016371B"/>
    <w:rsid w:val="00165BD4"/>
    <w:rsid w:val="002024BE"/>
    <w:rsid w:val="00231F3A"/>
    <w:rsid w:val="002413DC"/>
    <w:rsid w:val="0029076D"/>
    <w:rsid w:val="002C1FB0"/>
    <w:rsid w:val="002C58A6"/>
    <w:rsid w:val="002D3A8C"/>
    <w:rsid w:val="003163CE"/>
    <w:rsid w:val="0031771B"/>
    <w:rsid w:val="00353956"/>
    <w:rsid w:val="003611B0"/>
    <w:rsid w:val="00361395"/>
    <w:rsid w:val="0037741A"/>
    <w:rsid w:val="00384748"/>
    <w:rsid w:val="003D2EA1"/>
    <w:rsid w:val="003E2EFA"/>
    <w:rsid w:val="003E7BFF"/>
    <w:rsid w:val="00413B2C"/>
    <w:rsid w:val="0043067C"/>
    <w:rsid w:val="004315C0"/>
    <w:rsid w:val="00437B65"/>
    <w:rsid w:val="0044770A"/>
    <w:rsid w:val="004652E4"/>
    <w:rsid w:val="00487BBF"/>
    <w:rsid w:val="004A7E6B"/>
    <w:rsid w:val="004B1E1F"/>
    <w:rsid w:val="004C7865"/>
    <w:rsid w:val="004D4E24"/>
    <w:rsid w:val="004F699E"/>
    <w:rsid w:val="0050652A"/>
    <w:rsid w:val="00543166"/>
    <w:rsid w:val="00551F12"/>
    <w:rsid w:val="00577B97"/>
    <w:rsid w:val="00593F17"/>
    <w:rsid w:val="005C51E8"/>
    <w:rsid w:val="00615BE4"/>
    <w:rsid w:val="0061672C"/>
    <w:rsid w:val="00666B37"/>
    <w:rsid w:val="006B1901"/>
    <w:rsid w:val="006E36FD"/>
    <w:rsid w:val="006E388E"/>
    <w:rsid w:val="006E4170"/>
    <w:rsid w:val="006F573F"/>
    <w:rsid w:val="00710AD8"/>
    <w:rsid w:val="00741581"/>
    <w:rsid w:val="007471BB"/>
    <w:rsid w:val="007539C5"/>
    <w:rsid w:val="0075735A"/>
    <w:rsid w:val="00767932"/>
    <w:rsid w:val="00793B6D"/>
    <w:rsid w:val="007D1CCC"/>
    <w:rsid w:val="007E0007"/>
    <w:rsid w:val="00800B47"/>
    <w:rsid w:val="00844F49"/>
    <w:rsid w:val="00856408"/>
    <w:rsid w:val="008604B1"/>
    <w:rsid w:val="00876AD9"/>
    <w:rsid w:val="00877D1B"/>
    <w:rsid w:val="008A4142"/>
    <w:rsid w:val="008A4745"/>
    <w:rsid w:val="008A69F4"/>
    <w:rsid w:val="008A7860"/>
    <w:rsid w:val="008C79C0"/>
    <w:rsid w:val="008D78A6"/>
    <w:rsid w:val="0091394E"/>
    <w:rsid w:val="009775EF"/>
    <w:rsid w:val="009C6BE3"/>
    <w:rsid w:val="00A315B2"/>
    <w:rsid w:val="00A354C4"/>
    <w:rsid w:val="00A76F47"/>
    <w:rsid w:val="00A80FB3"/>
    <w:rsid w:val="00AA276A"/>
    <w:rsid w:val="00AE3007"/>
    <w:rsid w:val="00AF5670"/>
    <w:rsid w:val="00AF5D47"/>
    <w:rsid w:val="00B87574"/>
    <w:rsid w:val="00B9199F"/>
    <w:rsid w:val="00BA47D8"/>
    <w:rsid w:val="00BE5063"/>
    <w:rsid w:val="00C3269C"/>
    <w:rsid w:val="00C55607"/>
    <w:rsid w:val="00C6460A"/>
    <w:rsid w:val="00C64A33"/>
    <w:rsid w:val="00D01725"/>
    <w:rsid w:val="00D120FD"/>
    <w:rsid w:val="00D13C06"/>
    <w:rsid w:val="00D254C7"/>
    <w:rsid w:val="00D42972"/>
    <w:rsid w:val="00D77CDA"/>
    <w:rsid w:val="00DA3C90"/>
    <w:rsid w:val="00DB4C8D"/>
    <w:rsid w:val="00DC7ACF"/>
    <w:rsid w:val="00E04445"/>
    <w:rsid w:val="00E106F3"/>
    <w:rsid w:val="00E755AA"/>
    <w:rsid w:val="00E75982"/>
    <w:rsid w:val="00ED61CD"/>
    <w:rsid w:val="00F44771"/>
    <w:rsid w:val="00F65477"/>
    <w:rsid w:val="00F85E56"/>
    <w:rsid w:val="00F8627D"/>
    <w:rsid w:val="0F1BA3EA"/>
    <w:rsid w:val="11316692"/>
    <w:rsid w:val="1C8DAD6A"/>
    <w:rsid w:val="20DF69F7"/>
    <w:rsid w:val="2CC14CF2"/>
    <w:rsid w:val="2F0A2F55"/>
    <w:rsid w:val="3AD4E88A"/>
    <w:rsid w:val="44BF92CF"/>
    <w:rsid w:val="4AA6054A"/>
    <w:rsid w:val="5094920A"/>
    <w:rsid w:val="51BA3D29"/>
    <w:rsid w:val="58F317C4"/>
    <w:rsid w:val="5CCF8DA7"/>
    <w:rsid w:val="5F9280D0"/>
    <w:rsid w:val="6465F1F3"/>
    <w:rsid w:val="6D4FD6CD"/>
    <w:rsid w:val="71111526"/>
    <w:rsid w:val="77672E4D"/>
    <w:rsid w:val="7BC5F1D7"/>
    <w:rsid w:val="7C6B8664"/>
    <w:rsid w:val="7CDA4F0E"/>
    <w:rsid w:val="7E11B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CF4C"/>
  <w15:chartTrackingRefBased/>
  <w15:docId w15:val="{71B1A24C-3CB2-4BF2-B387-6E3DB7E30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14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ja-JP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7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0175"/>
  </w:style>
  <w:style w:type="paragraph" w:styleId="Footer">
    <w:name w:val="footer"/>
    <w:basedOn w:val="Normal"/>
    <w:link w:val="FooterChar"/>
    <w:uiPriority w:val="99"/>
    <w:unhideWhenUsed/>
    <w:rsid w:val="0015017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0175"/>
  </w:style>
  <w:style w:type="table" w:styleId="TableGrid">
    <w:name w:val="Table Grid"/>
    <w:basedOn w:val="TableNormal"/>
    <w:uiPriority w:val="59"/>
    <w:rsid w:val="00800B47"/>
    <w:rPr>
      <w:rFonts w:asciiTheme="minorHAnsi" w:hAnsiTheme="minorHAnsi" w:eastAsiaTheme="minorEastAsia" w:cstheme="minorBidi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254C7"/>
    <w:pPr>
      <w:ind w:left="720"/>
      <w:contextualSpacing/>
    </w:pPr>
    <w:rPr>
      <w:rFonts w:asciiTheme="minorHAnsi" w:hAnsiTheme="minorHAnsi" w:eastAsiaTheme="minorEastAsia" w:cstheme="minorBidi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254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9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574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8A4142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1F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Relationship Type="http://schemas.openxmlformats.org/officeDocument/2006/relationships/footer" Target="footer1.xml" Id="rId22" /><Relationship Type="http://schemas.openxmlformats.org/officeDocument/2006/relationships/hyperlink" Target="https://www.england.nhs.uk/patient-safety/learn-from-patient-safety-events-service/primary-care-information/" TargetMode="External" Id="R508498d7069548b7" /><Relationship Type="http://schemas.openxmlformats.org/officeDocument/2006/relationships/hyperlink" Target="https://selondonics.sharepoint.com/:p:/r/sites/SEL/_layouts/15/Doc.aspx?sourcedoc=%7B4DBD6BDD-43A3-4B94-B26A-2108CC2B8066%7D&amp;file=Patient%20Safety%20Workplan%20v1.pptx&amp;action=edit&amp;mobileredirect=true" TargetMode="External" Id="R5059155b76564c00" /><Relationship Type="http://schemas.openxmlformats.org/officeDocument/2006/relationships/hyperlink" Target="https://selciscs.gateway.prod-uk.datixcloudiq.co.uk/capture/?form_id=2&amp;module=INC" TargetMode="External" Id="R72098c55259847dc" /><Relationship Type="http://schemas.openxmlformats.org/officeDocument/2006/relationships/hyperlink" Target="https://www.cqc.org.uk/guidance-providers/regulations-enforcement/regulation-20-duty-candour" TargetMode="External" Id="R5d0007b81c2d4787" /><Relationship Type="http://schemas.openxmlformats.org/officeDocument/2006/relationships/hyperlink" Target="https://www.england.nhs.uk/wp-content/uploads/2015/04/serious-incidnt-framwrk-upd.pdf" TargetMode="External" Id="R2d716c21b3994c39" /><Relationship Type="http://schemas.openxmlformats.org/officeDocument/2006/relationships/hyperlink" Target="https://www.england.nhs.uk/patient-safety/learn-from-patient-safety-events-service/" TargetMode="External" Id="R1bd4f2b555d244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FA4BC003735FA447A189DA94E0611946" ma:contentTypeVersion="3" ma:contentTypeDescription="" ma:contentTypeScope="" ma:versionID="c1df43e0b4ec9930c1df23f25b9ee9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B3BD6-8A35-48D3-BE6C-23FB24F70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71A14-B7C3-4926-9467-3CA0A1CDF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FDAD3-DB16-4214-8D37-CEA4BE42C03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B5F33E1-6B2A-4898-89F9-F339D5A13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Goodenough (NHS South East London ICB)</dc:creator>
  <keywords/>
  <dc:description/>
  <lastModifiedBy>Dean Francis (NHS South East London ICB)</lastModifiedBy>
  <revision>220</revision>
  <dcterms:created xsi:type="dcterms:W3CDTF">2023-08-22T09:08:00.0000000Z</dcterms:created>
  <dcterms:modified xsi:type="dcterms:W3CDTF">2023-11-27T15:09:16.4835840Z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0x0101009CEB1DA2CC907747900298E7F35D742E00FA4BC003735FA447A189DA94E0611946</vt:lpwstr>
  </property>
</Properties>
</file>