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F471" w14:textId="77777777" w:rsidR="003F11A6" w:rsidRDefault="003F11A6" w:rsidP="00A775F5">
      <w:pPr>
        <w:rPr>
          <w:rFonts w:ascii="Arial" w:hAnsi="Arial" w:cs="Arial"/>
          <w:b/>
          <w:bCs/>
          <w:sz w:val="28"/>
          <w:szCs w:val="28"/>
        </w:rPr>
      </w:pPr>
      <w:r>
        <w:rPr>
          <w:rFonts w:ascii="Arial" w:hAnsi="Arial" w:cs="Arial"/>
          <w:b/>
          <w:bCs/>
          <w:sz w:val="28"/>
          <w:szCs w:val="28"/>
        </w:rPr>
        <w:t xml:space="preserve">Neighbourhood Update </w:t>
      </w:r>
    </w:p>
    <w:p w14:paraId="5A13A707" w14:textId="77777777" w:rsidR="00CE4836" w:rsidRPr="000D1E22" w:rsidRDefault="00CE4836" w:rsidP="00CE4836">
      <w:pPr>
        <w:rPr>
          <w:rFonts w:ascii="Arial" w:hAnsi="Arial" w:cs="Arial"/>
          <w:i/>
          <w:iCs/>
        </w:rPr>
      </w:pPr>
      <w:r w:rsidRPr="000D1E22">
        <w:rPr>
          <w:rFonts w:ascii="Arial" w:hAnsi="Arial" w:cs="Arial"/>
          <w:i/>
          <w:iCs/>
        </w:rPr>
        <w:t xml:space="preserve">Building </w:t>
      </w:r>
      <w:r>
        <w:rPr>
          <w:rFonts w:ascii="Arial" w:hAnsi="Arial" w:cs="Arial"/>
          <w:i/>
          <w:iCs/>
        </w:rPr>
        <w:t>s</w:t>
      </w:r>
      <w:r w:rsidRPr="000D1E22">
        <w:rPr>
          <w:rFonts w:ascii="Arial" w:hAnsi="Arial" w:cs="Arial"/>
          <w:i/>
          <w:iCs/>
        </w:rPr>
        <w:t xml:space="preserve">tronger, </w:t>
      </w:r>
      <w:r>
        <w:rPr>
          <w:rFonts w:ascii="Arial" w:hAnsi="Arial" w:cs="Arial"/>
          <w:i/>
          <w:iCs/>
        </w:rPr>
        <w:t>h</w:t>
      </w:r>
      <w:r w:rsidRPr="000D1E22">
        <w:rPr>
          <w:rFonts w:ascii="Arial" w:hAnsi="Arial" w:cs="Arial"/>
          <w:i/>
          <w:iCs/>
        </w:rPr>
        <w:t xml:space="preserve">ealthier </w:t>
      </w:r>
      <w:r>
        <w:rPr>
          <w:rFonts w:ascii="Arial" w:hAnsi="Arial" w:cs="Arial"/>
          <w:i/>
          <w:iCs/>
        </w:rPr>
        <w:t>c</w:t>
      </w:r>
      <w:r w:rsidRPr="000D1E22">
        <w:rPr>
          <w:rFonts w:ascii="Arial" w:hAnsi="Arial" w:cs="Arial"/>
          <w:i/>
          <w:iCs/>
        </w:rPr>
        <w:t xml:space="preserve">ommunities </w:t>
      </w:r>
      <w:r>
        <w:rPr>
          <w:rFonts w:ascii="Arial" w:hAnsi="Arial" w:cs="Arial"/>
          <w:i/>
          <w:iCs/>
        </w:rPr>
        <w:t>t</w:t>
      </w:r>
      <w:r w:rsidRPr="000D1E22">
        <w:rPr>
          <w:rFonts w:ascii="Arial" w:hAnsi="Arial" w:cs="Arial"/>
          <w:i/>
          <w:iCs/>
        </w:rPr>
        <w:t>ogether</w:t>
      </w:r>
    </w:p>
    <w:p w14:paraId="71380AE6" w14:textId="77777777" w:rsidR="006E1BFB" w:rsidRPr="006E1BFB" w:rsidRDefault="006E1BFB" w:rsidP="006E1BFB">
      <w:pPr>
        <w:rPr>
          <w:rFonts w:ascii="Arial" w:hAnsi="Arial" w:cs="Arial"/>
        </w:rPr>
      </w:pPr>
      <w:r w:rsidRPr="006E1BFB">
        <w:rPr>
          <w:rFonts w:ascii="Arial" w:hAnsi="Arial" w:cs="Arial"/>
        </w:rPr>
        <w:t>Following last month’s introduction to the SEL Neighbourhood Based Care Board (NBCB), this regular feature continues to share highlights from our work to develop a neighbourhood health service across south east London.</w:t>
      </w:r>
    </w:p>
    <w:p w14:paraId="55A8DB64" w14:textId="6B735B10" w:rsidR="00CE4836" w:rsidRPr="002C46DE" w:rsidRDefault="00CE4836" w:rsidP="00CE4836">
      <w:pPr>
        <w:rPr>
          <w:rFonts w:ascii="Arial" w:hAnsi="Arial" w:cs="Arial"/>
        </w:rPr>
      </w:pPr>
      <w:r w:rsidRPr="002C46DE">
        <w:rPr>
          <w:rFonts w:ascii="Arial" w:hAnsi="Arial" w:cs="Arial"/>
        </w:rPr>
        <w:t xml:space="preserve">The NBCB oversees the transformation towards a neighbourhood-based model of care, making services more proactive, joined-up, and responsive to the needs of local communities. </w:t>
      </w:r>
      <w:r w:rsidR="00160B8F">
        <w:rPr>
          <w:rFonts w:ascii="Arial" w:hAnsi="Arial" w:cs="Arial"/>
        </w:rPr>
        <w:t xml:space="preserve"> Discussions at the October meeting included: </w:t>
      </w:r>
    </w:p>
    <w:p w14:paraId="4E5ECDAF" w14:textId="77777777" w:rsidR="005438DC" w:rsidRDefault="005438DC" w:rsidP="00CE4836">
      <w:pPr>
        <w:numPr>
          <w:ilvl w:val="0"/>
          <w:numId w:val="18"/>
        </w:numPr>
        <w:rPr>
          <w:rFonts w:ascii="Arial" w:hAnsi="Arial" w:cs="Arial"/>
        </w:rPr>
      </w:pPr>
      <w:r w:rsidRPr="005438DC">
        <w:rPr>
          <w:rFonts w:ascii="Arial" w:hAnsi="Arial" w:cs="Arial"/>
        </w:rPr>
        <w:t>Development of neighbourhood health centres</w:t>
      </w:r>
    </w:p>
    <w:p w14:paraId="67F3AD12" w14:textId="0732CA02" w:rsidR="00CE4836" w:rsidRPr="005438DC" w:rsidRDefault="005438DC" w:rsidP="00CE4836">
      <w:pPr>
        <w:numPr>
          <w:ilvl w:val="0"/>
          <w:numId w:val="18"/>
        </w:numPr>
        <w:rPr>
          <w:rFonts w:ascii="Arial" w:hAnsi="Arial" w:cs="Arial"/>
        </w:rPr>
      </w:pPr>
      <w:r>
        <w:rPr>
          <w:rFonts w:ascii="Arial" w:hAnsi="Arial" w:cs="Arial"/>
        </w:rPr>
        <w:t xml:space="preserve">Staff activation plans </w:t>
      </w:r>
    </w:p>
    <w:p w14:paraId="0A43715F" w14:textId="78F32335" w:rsidR="00CE4836" w:rsidRPr="002C46DE" w:rsidRDefault="005438DC" w:rsidP="00CE4836">
      <w:pPr>
        <w:numPr>
          <w:ilvl w:val="0"/>
          <w:numId w:val="18"/>
        </w:numPr>
        <w:rPr>
          <w:rFonts w:ascii="Arial" w:hAnsi="Arial" w:cs="Arial"/>
        </w:rPr>
      </w:pPr>
      <w:r>
        <w:rPr>
          <w:rFonts w:ascii="Arial" w:hAnsi="Arial" w:cs="Arial"/>
        </w:rPr>
        <w:t xml:space="preserve">Quarterly progress reports </w:t>
      </w:r>
    </w:p>
    <w:p w14:paraId="5860F738" w14:textId="1555364C" w:rsidR="00CE4836" w:rsidRPr="002C46DE" w:rsidRDefault="005438DC" w:rsidP="00CE4836">
      <w:pPr>
        <w:numPr>
          <w:ilvl w:val="0"/>
          <w:numId w:val="18"/>
        </w:numPr>
        <w:rPr>
          <w:rFonts w:ascii="Arial" w:hAnsi="Arial" w:cs="Arial"/>
        </w:rPr>
      </w:pPr>
      <w:r>
        <w:rPr>
          <w:rFonts w:ascii="Arial" w:hAnsi="Arial" w:cs="Arial"/>
        </w:rPr>
        <w:t xml:space="preserve">Learning system proposal </w:t>
      </w:r>
    </w:p>
    <w:p w14:paraId="2320E113" w14:textId="71611355" w:rsidR="00A775F5" w:rsidRPr="0055257C" w:rsidRDefault="00A775F5" w:rsidP="0055257C">
      <w:pPr>
        <w:pStyle w:val="ListParagraph"/>
        <w:numPr>
          <w:ilvl w:val="0"/>
          <w:numId w:val="15"/>
        </w:numPr>
        <w:rPr>
          <w:rFonts w:ascii="Arial" w:hAnsi="Arial" w:cs="Arial"/>
          <w:b/>
          <w:bCs/>
          <w:sz w:val="28"/>
          <w:szCs w:val="28"/>
        </w:rPr>
      </w:pPr>
      <w:r w:rsidRPr="0055257C">
        <w:rPr>
          <w:rFonts w:ascii="Arial" w:hAnsi="Arial" w:cs="Arial"/>
          <w:b/>
          <w:bCs/>
          <w:sz w:val="28"/>
          <w:szCs w:val="28"/>
        </w:rPr>
        <w:t xml:space="preserve">Development of neighbourhood health centres </w:t>
      </w:r>
    </w:p>
    <w:p w14:paraId="3F67500C" w14:textId="5C71EE87" w:rsidR="00A775F5" w:rsidRDefault="00A775F5" w:rsidP="00A775F5">
      <w:pPr>
        <w:rPr>
          <w:rFonts w:ascii="Arial" w:hAnsi="Arial" w:cs="Arial"/>
        </w:rPr>
      </w:pPr>
      <w:r w:rsidRPr="00AE6826">
        <w:rPr>
          <w:rFonts w:ascii="Arial" w:hAnsi="Arial" w:cs="Arial"/>
        </w:rPr>
        <w:t xml:space="preserve">Neighbourhood health centres are a central part of delivering </w:t>
      </w:r>
      <w:r w:rsidR="00937DD3">
        <w:rPr>
          <w:rFonts w:ascii="Arial" w:hAnsi="Arial" w:cs="Arial"/>
        </w:rPr>
        <w:t xml:space="preserve">integrated </w:t>
      </w:r>
      <w:r w:rsidRPr="00AE6826">
        <w:rPr>
          <w:rFonts w:ascii="Arial" w:hAnsi="Arial" w:cs="Arial"/>
        </w:rPr>
        <w:t>neighbourhood</w:t>
      </w:r>
      <w:r>
        <w:rPr>
          <w:rFonts w:ascii="Arial" w:hAnsi="Arial" w:cs="Arial"/>
        </w:rPr>
        <w:t xml:space="preserve"> </w:t>
      </w:r>
      <w:r w:rsidRPr="00AE6826">
        <w:rPr>
          <w:rFonts w:ascii="Arial" w:hAnsi="Arial" w:cs="Arial"/>
        </w:rPr>
        <w:t>care as set out in the NHS</w:t>
      </w:r>
      <w:r w:rsidR="00937DD3">
        <w:rPr>
          <w:rFonts w:ascii="Arial" w:hAnsi="Arial" w:cs="Arial"/>
        </w:rPr>
        <w:t xml:space="preserve"> </w:t>
      </w:r>
      <w:r w:rsidRPr="00AE6826">
        <w:rPr>
          <w:rFonts w:ascii="Arial" w:hAnsi="Arial" w:cs="Arial"/>
        </w:rPr>
        <w:t xml:space="preserve">10 Year </w:t>
      </w:r>
      <w:r>
        <w:rPr>
          <w:rFonts w:ascii="Arial" w:hAnsi="Arial" w:cs="Arial"/>
        </w:rPr>
        <w:t xml:space="preserve">Health </w:t>
      </w:r>
      <w:r w:rsidRPr="00AE6826">
        <w:rPr>
          <w:rFonts w:ascii="Arial" w:hAnsi="Arial" w:cs="Arial"/>
        </w:rPr>
        <w:t>Plan. They are designed to bring together multi-disciplinary teams</w:t>
      </w:r>
      <w:r>
        <w:rPr>
          <w:rFonts w:ascii="Arial" w:hAnsi="Arial" w:cs="Arial"/>
        </w:rPr>
        <w:t xml:space="preserve"> </w:t>
      </w:r>
      <w:r w:rsidRPr="00AE6826">
        <w:rPr>
          <w:rFonts w:ascii="Arial" w:hAnsi="Arial" w:cs="Arial"/>
        </w:rPr>
        <w:t>into local hubs that provide joined-up, person-centred support</w:t>
      </w:r>
      <w:r>
        <w:rPr>
          <w:rFonts w:ascii="Arial" w:hAnsi="Arial" w:cs="Arial"/>
        </w:rPr>
        <w:t xml:space="preserve">. </w:t>
      </w:r>
    </w:p>
    <w:p w14:paraId="3B07EA31" w14:textId="213574B0" w:rsidR="007C0738" w:rsidRPr="00A775F5" w:rsidRDefault="00A775F5" w:rsidP="007C0738">
      <w:pPr>
        <w:rPr>
          <w:rFonts w:ascii="Arial" w:hAnsi="Arial" w:cs="Arial"/>
        </w:rPr>
      </w:pPr>
      <w:r>
        <w:rPr>
          <w:rFonts w:ascii="Arial" w:hAnsi="Arial" w:cs="Arial"/>
        </w:rPr>
        <w:t>A</w:t>
      </w:r>
      <w:r w:rsidRPr="003C3386">
        <w:rPr>
          <w:rFonts w:ascii="Arial" w:hAnsi="Arial" w:cs="Arial"/>
        </w:rPr>
        <w:t xml:space="preserve"> national working group has developed five models</w:t>
      </w:r>
      <w:r>
        <w:rPr>
          <w:rFonts w:ascii="Arial" w:hAnsi="Arial" w:cs="Arial"/>
        </w:rPr>
        <w:t xml:space="preserve">, </w:t>
      </w:r>
      <w:r w:rsidRPr="003C3386">
        <w:rPr>
          <w:rFonts w:ascii="Arial" w:hAnsi="Arial" w:cs="Arial"/>
        </w:rPr>
        <w:t xml:space="preserve">ranging from refurbishing existing buildings to fully virtual centres. </w:t>
      </w:r>
      <w:r w:rsidR="007C0738" w:rsidRPr="00A775F5">
        <w:rPr>
          <w:rFonts w:ascii="Arial" w:hAnsi="Arial" w:cs="Arial"/>
        </w:rPr>
        <w:t>These are not simply enhanced GP practices, but hubs that co-locate diagnostics, community services, VC</w:t>
      </w:r>
      <w:r w:rsidR="00E932A5">
        <w:rPr>
          <w:rFonts w:ascii="Arial" w:hAnsi="Arial" w:cs="Arial"/>
        </w:rPr>
        <w:t>F</w:t>
      </w:r>
      <w:r w:rsidR="007C0738" w:rsidRPr="00A775F5">
        <w:rPr>
          <w:rFonts w:ascii="Arial" w:hAnsi="Arial" w:cs="Arial"/>
        </w:rPr>
        <w:t>SE organisations, and other public services.</w:t>
      </w:r>
    </w:p>
    <w:p w14:paraId="57FD54A7" w14:textId="77777777" w:rsidR="009733A7" w:rsidRDefault="00A775F5" w:rsidP="00A775F5">
      <w:pPr>
        <w:rPr>
          <w:rFonts w:ascii="Arial" w:hAnsi="Arial" w:cs="Arial"/>
        </w:rPr>
      </w:pPr>
      <w:r>
        <w:rPr>
          <w:rFonts w:ascii="Arial" w:hAnsi="Arial" w:cs="Arial"/>
        </w:rPr>
        <w:t xml:space="preserve">In south east London (SEL), </w:t>
      </w:r>
      <w:r w:rsidRPr="003C3386">
        <w:rPr>
          <w:rFonts w:ascii="Arial" w:hAnsi="Arial" w:cs="Arial"/>
        </w:rPr>
        <w:t xml:space="preserve">mapping </w:t>
      </w:r>
      <w:r w:rsidR="007C0738">
        <w:rPr>
          <w:rFonts w:ascii="Arial" w:hAnsi="Arial" w:cs="Arial"/>
        </w:rPr>
        <w:t xml:space="preserve">of </w:t>
      </w:r>
      <w:r w:rsidRPr="003C3386">
        <w:rPr>
          <w:rFonts w:ascii="Arial" w:hAnsi="Arial" w:cs="Arial"/>
        </w:rPr>
        <w:t xml:space="preserve">potential hub sites </w:t>
      </w:r>
      <w:r w:rsidR="007C0738">
        <w:rPr>
          <w:rFonts w:ascii="Arial" w:hAnsi="Arial" w:cs="Arial"/>
        </w:rPr>
        <w:t xml:space="preserve">is underway </w:t>
      </w:r>
      <w:r w:rsidRPr="003C3386">
        <w:rPr>
          <w:rFonts w:ascii="Arial" w:hAnsi="Arial" w:cs="Arial"/>
        </w:rPr>
        <w:t xml:space="preserve">across all six boroughs, with Greenwich used as an example of how boroughs can assess and prioritise locations. </w:t>
      </w:r>
      <w:r w:rsidR="00C75F9F" w:rsidRPr="00A775F5">
        <w:rPr>
          <w:rFonts w:ascii="Arial" w:hAnsi="Arial" w:cs="Arial"/>
        </w:rPr>
        <w:t xml:space="preserve">The Greenwich approach includes evaluation criteria aligned with the London </w:t>
      </w:r>
      <w:r w:rsidR="00FB6303">
        <w:rPr>
          <w:rFonts w:ascii="Arial" w:hAnsi="Arial" w:cs="Arial"/>
        </w:rPr>
        <w:t xml:space="preserve">Target Operating Model and </w:t>
      </w:r>
      <w:r w:rsidR="00C75F9F" w:rsidRPr="00A775F5">
        <w:rPr>
          <w:rFonts w:ascii="Arial" w:hAnsi="Arial" w:cs="Arial"/>
        </w:rPr>
        <w:t xml:space="preserve">SEL estates </w:t>
      </w:r>
      <w:r w:rsidR="002A3D9A" w:rsidRPr="00A775F5">
        <w:rPr>
          <w:rFonts w:ascii="Arial" w:hAnsi="Arial" w:cs="Arial"/>
        </w:rPr>
        <w:t>strategy and</w:t>
      </w:r>
      <w:r w:rsidR="00C75F9F" w:rsidRPr="00A775F5">
        <w:rPr>
          <w:rFonts w:ascii="Arial" w:hAnsi="Arial" w:cs="Arial"/>
        </w:rPr>
        <w:t xml:space="preserve"> is being used to guide borough-level workshops. </w:t>
      </w:r>
    </w:p>
    <w:p w14:paraId="606ED04F" w14:textId="7BEC79ED" w:rsidR="00CD2BB2" w:rsidRDefault="002F285B" w:rsidP="00A775F5">
      <w:pPr>
        <w:rPr>
          <w:rFonts w:ascii="Arial" w:hAnsi="Arial" w:cs="Arial"/>
        </w:rPr>
      </w:pPr>
      <w:r w:rsidRPr="002F285B">
        <w:rPr>
          <w:rFonts w:ascii="Arial" w:hAnsi="Arial" w:cs="Arial"/>
        </w:rPr>
        <w:t xml:space="preserve">A </w:t>
      </w:r>
      <w:r>
        <w:rPr>
          <w:rFonts w:ascii="Arial" w:hAnsi="Arial" w:cs="Arial"/>
        </w:rPr>
        <w:t>SEL</w:t>
      </w:r>
      <w:r w:rsidRPr="002F285B">
        <w:rPr>
          <w:rFonts w:ascii="Arial" w:hAnsi="Arial" w:cs="Arial"/>
        </w:rPr>
        <w:t>-wide approach will be undertaken, using the Greenwich evaluation criteria, to ensure consistency and support decision-making around prospective neighbourhood hubs. This process will provide a clear picture of the status of hub identification across SEL, highlight areas of alignment and variation between places, and offer a system-wide understanding of what is needed to progress the development of functional neighbourhood hubs.</w:t>
      </w:r>
    </w:p>
    <w:p w14:paraId="2F8702C4" w14:textId="61D95BA7" w:rsidR="00A775F5" w:rsidRPr="0055257C" w:rsidRDefault="00A775F5" w:rsidP="0055257C">
      <w:pPr>
        <w:pStyle w:val="ListParagraph"/>
        <w:numPr>
          <w:ilvl w:val="0"/>
          <w:numId w:val="15"/>
        </w:numPr>
        <w:rPr>
          <w:rFonts w:ascii="Arial" w:hAnsi="Arial" w:cs="Arial"/>
          <w:b/>
          <w:bCs/>
          <w:sz w:val="28"/>
          <w:szCs w:val="28"/>
        </w:rPr>
      </w:pPr>
      <w:r w:rsidRPr="0055257C">
        <w:rPr>
          <w:rFonts w:ascii="Arial" w:hAnsi="Arial" w:cs="Arial"/>
          <w:b/>
          <w:bCs/>
          <w:sz w:val="28"/>
          <w:szCs w:val="28"/>
        </w:rPr>
        <w:t xml:space="preserve">Staff </w:t>
      </w:r>
      <w:r w:rsidR="002748E0" w:rsidRPr="0055257C">
        <w:rPr>
          <w:rFonts w:ascii="Arial" w:hAnsi="Arial" w:cs="Arial"/>
          <w:b/>
          <w:bCs/>
          <w:sz w:val="28"/>
          <w:szCs w:val="28"/>
        </w:rPr>
        <w:t>a</w:t>
      </w:r>
      <w:r w:rsidRPr="0055257C">
        <w:rPr>
          <w:rFonts w:ascii="Arial" w:hAnsi="Arial" w:cs="Arial"/>
          <w:b/>
          <w:bCs/>
          <w:sz w:val="28"/>
          <w:szCs w:val="28"/>
        </w:rPr>
        <w:t>ctivation</w:t>
      </w:r>
    </w:p>
    <w:p w14:paraId="4CD81254" w14:textId="4FC39502" w:rsidR="001E5E07" w:rsidRPr="008B0344" w:rsidRDefault="001E5E07" w:rsidP="001E5E07">
      <w:pPr>
        <w:spacing w:line="320" w:lineRule="atLeast"/>
        <w:rPr>
          <w:rFonts w:ascii="Arial" w:hAnsi="Arial" w:cs="Arial"/>
        </w:rPr>
      </w:pPr>
      <w:r w:rsidRPr="008B0344">
        <w:rPr>
          <w:rFonts w:ascii="Arial" w:hAnsi="Arial" w:cs="Arial"/>
        </w:rPr>
        <w:t xml:space="preserve">A staff activation approach has been </w:t>
      </w:r>
      <w:r w:rsidR="002F285B" w:rsidRPr="008B0344">
        <w:rPr>
          <w:rFonts w:ascii="Arial" w:hAnsi="Arial" w:cs="Arial"/>
        </w:rPr>
        <w:t>developed</w:t>
      </w:r>
      <w:r w:rsidRPr="008B0344">
        <w:rPr>
          <w:rFonts w:ascii="Arial" w:hAnsi="Arial" w:cs="Arial"/>
        </w:rPr>
        <w:t xml:space="preserve"> to </w:t>
      </w:r>
      <w:r w:rsidR="00D53FC6" w:rsidRPr="008B0344">
        <w:rPr>
          <w:rFonts w:ascii="Arial" w:hAnsi="Arial" w:cs="Arial"/>
        </w:rPr>
        <w:t xml:space="preserve">help with system wide staff </w:t>
      </w:r>
      <w:r w:rsidR="008B0344" w:rsidRPr="008B0344">
        <w:rPr>
          <w:rFonts w:ascii="Arial" w:hAnsi="Arial" w:cs="Arial"/>
        </w:rPr>
        <w:t xml:space="preserve">engagement on neighbourhood development.  The purpose is to ensure </w:t>
      </w:r>
      <w:r w:rsidR="004C6B87" w:rsidRPr="008B0344">
        <w:rPr>
          <w:rFonts w:ascii="Arial" w:hAnsi="Arial" w:cs="Arial"/>
        </w:rPr>
        <w:t xml:space="preserve">staff feel </w:t>
      </w:r>
      <w:r w:rsidR="004C6B87" w:rsidRPr="008B0344">
        <w:rPr>
          <w:rFonts w:ascii="Arial" w:hAnsi="Arial" w:cs="Arial"/>
        </w:rPr>
        <w:lastRenderedPageBreak/>
        <w:t xml:space="preserve">informed, involved and supported as neighbourhood working evolves and so we can build a shared understanding of what </w:t>
      </w:r>
      <w:r w:rsidR="008B0344" w:rsidRPr="008B0344">
        <w:rPr>
          <w:rFonts w:ascii="Arial" w:hAnsi="Arial" w:cs="Arial"/>
        </w:rPr>
        <w:t>it</w:t>
      </w:r>
      <w:r w:rsidR="004C6B87" w:rsidRPr="008B0344">
        <w:rPr>
          <w:rFonts w:ascii="Arial" w:hAnsi="Arial" w:cs="Arial"/>
        </w:rPr>
        <w:t xml:space="preserve"> means for different roles. </w:t>
      </w:r>
    </w:p>
    <w:p w14:paraId="6981E541" w14:textId="380B6FDC" w:rsidR="00A775F5" w:rsidRPr="00A775F5" w:rsidRDefault="004E331E" w:rsidP="00A775F5">
      <w:pPr>
        <w:rPr>
          <w:rFonts w:ascii="Arial" w:hAnsi="Arial" w:cs="Arial"/>
        </w:rPr>
      </w:pPr>
      <w:r w:rsidRPr="008B0344">
        <w:rPr>
          <w:rFonts w:ascii="Arial" w:hAnsi="Arial" w:cs="Arial"/>
        </w:rPr>
        <w:t>This phased approach includes:</w:t>
      </w:r>
    </w:p>
    <w:p w14:paraId="3744D677" w14:textId="77777777" w:rsidR="00A775F5" w:rsidRPr="00A775F5" w:rsidRDefault="00A775F5" w:rsidP="00A775F5">
      <w:pPr>
        <w:numPr>
          <w:ilvl w:val="0"/>
          <w:numId w:val="9"/>
        </w:numPr>
        <w:rPr>
          <w:rFonts w:ascii="Arial" w:hAnsi="Arial" w:cs="Arial"/>
        </w:rPr>
      </w:pPr>
      <w:r w:rsidRPr="00A775F5">
        <w:rPr>
          <w:rFonts w:ascii="Arial" w:hAnsi="Arial" w:cs="Arial"/>
          <w:b/>
          <w:bCs/>
        </w:rPr>
        <w:t>Phase 1:</w:t>
      </w:r>
      <w:r w:rsidRPr="00A775F5">
        <w:rPr>
          <w:rFonts w:ascii="Arial" w:hAnsi="Arial" w:cs="Arial"/>
        </w:rPr>
        <w:t xml:space="preserve"> Raise awareness</w:t>
      </w:r>
    </w:p>
    <w:p w14:paraId="66E463A0" w14:textId="77777777" w:rsidR="00A775F5" w:rsidRPr="00A775F5" w:rsidRDefault="00A775F5" w:rsidP="00A775F5">
      <w:pPr>
        <w:numPr>
          <w:ilvl w:val="0"/>
          <w:numId w:val="9"/>
        </w:numPr>
        <w:rPr>
          <w:rFonts w:ascii="Arial" w:hAnsi="Arial" w:cs="Arial"/>
        </w:rPr>
      </w:pPr>
      <w:r w:rsidRPr="00A775F5">
        <w:rPr>
          <w:rFonts w:ascii="Arial" w:hAnsi="Arial" w:cs="Arial"/>
          <w:b/>
          <w:bCs/>
        </w:rPr>
        <w:t>Phase 2:</w:t>
      </w:r>
      <w:r w:rsidRPr="00A775F5">
        <w:rPr>
          <w:rFonts w:ascii="Arial" w:hAnsi="Arial" w:cs="Arial"/>
        </w:rPr>
        <w:t xml:space="preserve"> Educate and empower</w:t>
      </w:r>
    </w:p>
    <w:p w14:paraId="62CEED81" w14:textId="77777777" w:rsidR="00A775F5" w:rsidRPr="00A775F5" w:rsidRDefault="00A775F5" w:rsidP="00A775F5">
      <w:pPr>
        <w:numPr>
          <w:ilvl w:val="0"/>
          <w:numId w:val="9"/>
        </w:numPr>
        <w:rPr>
          <w:rFonts w:ascii="Arial" w:hAnsi="Arial" w:cs="Arial"/>
        </w:rPr>
      </w:pPr>
      <w:r w:rsidRPr="00A775F5">
        <w:rPr>
          <w:rFonts w:ascii="Arial" w:hAnsi="Arial" w:cs="Arial"/>
          <w:b/>
          <w:bCs/>
        </w:rPr>
        <w:t>Phase 3:</w:t>
      </w:r>
      <w:r w:rsidRPr="00A775F5">
        <w:rPr>
          <w:rFonts w:ascii="Arial" w:hAnsi="Arial" w:cs="Arial"/>
        </w:rPr>
        <w:t xml:space="preserve"> Enable and embed</w:t>
      </w:r>
    </w:p>
    <w:p w14:paraId="417E52C6" w14:textId="65FC80BB" w:rsidR="005C06D6" w:rsidRDefault="00A775F5" w:rsidP="00A775F5">
      <w:pPr>
        <w:rPr>
          <w:rFonts w:ascii="Arial" w:hAnsi="Arial" w:cs="Arial"/>
        </w:rPr>
      </w:pPr>
      <w:r w:rsidRPr="00A775F5">
        <w:rPr>
          <w:rFonts w:ascii="Arial" w:hAnsi="Arial" w:cs="Arial"/>
        </w:rPr>
        <w:t xml:space="preserve">A communications toolkit has been </w:t>
      </w:r>
      <w:r w:rsidR="004448EC">
        <w:rPr>
          <w:rFonts w:ascii="Arial" w:hAnsi="Arial" w:cs="Arial"/>
        </w:rPr>
        <w:t xml:space="preserve">developed </w:t>
      </w:r>
      <w:r w:rsidR="008B0344">
        <w:rPr>
          <w:rFonts w:ascii="Arial" w:hAnsi="Arial" w:cs="Arial"/>
        </w:rPr>
        <w:t xml:space="preserve">to support with raising awareness and understanding.  This </w:t>
      </w:r>
      <w:r w:rsidR="004448EC">
        <w:rPr>
          <w:rFonts w:ascii="Arial" w:hAnsi="Arial" w:cs="Arial"/>
        </w:rPr>
        <w:t xml:space="preserve">will be made available to </w:t>
      </w:r>
      <w:r w:rsidR="005C06D6">
        <w:rPr>
          <w:rFonts w:ascii="Arial" w:hAnsi="Arial" w:cs="Arial"/>
        </w:rPr>
        <w:t xml:space="preserve">employing organisations </w:t>
      </w:r>
      <w:r w:rsidR="00F3340D">
        <w:rPr>
          <w:rFonts w:ascii="Arial" w:hAnsi="Arial" w:cs="Arial"/>
        </w:rPr>
        <w:t>and</w:t>
      </w:r>
      <w:r w:rsidR="005C06D6">
        <w:rPr>
          <w:rFonts w:ascii="Arial" w:hAnsi="Arial" w:cs="Arial"/>
        </w:rPr>
        <w:t xml:space="preserve"> includes </w:t>
      </w:r>
      <w:r w:rsidRPr="00A775F5">
        <w:rPr>
          <w:rFonts w:ascii="Arial" w:hAnsi="Arial" w:cs="Arial"/>
        </w:rPr>
        <w:t>FAQs, messaging</w:t>
      </w:r>
      <w:r w:rsidR="00F3340D">
        <w:rPr>
          <w:rFonts w:ascii="Arial" w:hAnsi="Arial" w:cs="Arial"/>
        </w:rPr>
        <w:t xml:space="preserve"> and </w:t>
      </w:r>
      <w:r w:rsidRPr="00A775F5">
        <w:rPr>
          <w:rFonts w:ascii="Arial" w:hAnsi="Arial" w:cs="Arial"/>
        </w:rPr>
        <w:t>slides</w:t>
      </w:r>
      <w:r w:rsidR="00AB0CB8">
        <w:rPr>
          <w:rFonts w:ascii="Arial" w:hAnsi="Arial" w:cs="Arial"/>
        </w:rPr>
        <w:t xml:space="preserve">.  The toolkit will continue to develop with additional resources for local use.  </w:t>
      </w:r>
      <w:r w:rsidR="002E1568">
        <w:rPr>
          <w:rFonts w:ascii="Arial" w:hAnsi="Arial" w:cs="Arial"/>
        </w:rPr>
        <w:t xml:space="preserve">SEL-wide staff information webinars will be </w:t>
      </w:r>
      <w:r w:rsidR="0033673E">
        <w:rPr>
          <w:rFonts w:ascii="Arial" w:hAnsi="Arial" w:cs="Arial"/>
        </w:rPr>
        <w:t>offered</w:t>
      </w:r>
      <w:r w:rsidR="002E1568">
        <w:rPr>
          <w:rFonts w:ascii="Arial" w:hAnsi="Arial" w:cs="Arial"/>
        </w:rPr>
        <w:t xml:space="preserve"> to provide </w:t>
      </w:r>
      <w:r w:rsidR="00511032">
        <w:rPr>
          <w:rFonts w:ascii="Arial" w:hAnsi="Arial" w:cs="Arial"/>
        </w:rPr>
        <w:t xml:space="preserve">information on neighbourhood working. </w:t>
      </w:r>
    </w:p>
    <w:p w14:paraId="6C1FF367" w14:textId="383ABD4A" w:rsidR="00A775F5" w:rsidRPr="0055257C" w:rsidRDefault="002748E0" w:rsidP="00D57895">
      <w:pPr>
        <w:pStyle w:val="ListParagraph"/>
        <w:numPr>
          <w:ilvl w:val="0"/>
          <w:numId w:val="15"/>
        </w:numPr>
        <w:rPr>
          <w:rFonts w:ascii="Arial" w:hAnsi="Arial" w:cs="Arial"/>
          <w:b/>
          <w:bCs/>
          <w:sz w:val="28"/>
          <w:szCs w:val="28"/>
        </w:rPr>
      </w:pPr>
      <w:r w:rsidRPr="0055257C">
        <w:rPr>
          <w:rFonts w:ascii="Arial" w:hAnsi="Arial" w:cs="Arial"/>
          <w:b/>
          <w:bCs/>
          <w:sz w:val="28"/>
          <w:szCs w:val="28"/>
        </w:rPr>
        <w:t>Quarterly programme management report (PMO) -</w:t>
      </w:r>
      <w:r w:rsidR="00A775F5" w:rsidRPr="0055257C">
        <w:rPr>
          <w:rFonts w:ascii="Arial" w:hAnsi="Arial" w:cs="Arial"/>
          <w:b/>
          <w:bCs/>
          <w:sz w:val="28"/>
          <w:szCs w:val="28"/>
        </w:rPr>
        <w:t xml:space="preserve"> </w:t>
      </w:r>
      <w:r w:rsidR="005438DC">
        <w:rPr>
          <w:rFonts w:ascii="Arial" w:hAnsi="Arial" w:cs="Arial"/>
          <w:b/>
          <w:bCs/>
          <w:sz w:val="28"/>
          <w:szCs w:val="28"/>
        </w:rPr>
        <w:t>p</w:t>
      </w:r>
      <w:r w:rsidR="00A775F5" w:rsidRPr="0055257C">
        <w:rPr>
          <w:rFonts w:ascii="Arial" w:hAnsi="Arial" w:cs="Arial"/>
          <w:b/>
          <w:bCs/>
          <w:sz w:val="28"/>
          <w:szCs w:val="28"/>
        </w:rPr>
        <w:t xml:space="preserve">rogress and </w:t>
      </w:r>
      <w:r w:rsidRPr="0055257C">
        <w:rPr>
          <w:rFonts w:ascii="Arial" w:hAnsi="Arial" w:cs="Arial"/>
          <w:b/>
          <w:bCs/>
          <w:sz w:val="28"/>
          <w:szCs w:val="28"/>
        </w:rPr>
        <w:t>s</w:t>
      </w:r>
      <w:r w:rsidR="00A775F5" w:rsidRPr="0055257C">
        <w:rPr>
          <w:rFonts w:ascii="Arial" w:hAnsi="Arial" w:cs="Arial"/>
          <w:b/>
          <w:bCs/>
          <w:sz w:val="28"/>
          <w:szCs w:val="28"/>
        </w:rPr>
        <w:t xml:space="preserve">hared </w:t>
      </w:r>
      <w:r w:rsidRPr="0055257C">
        <w:rPr>
          <w:rFonts w:ascii="Arial" w:hAnsi="Arial" w:cs="Arial"/>
          <w:b/>
          <w:bCs/>
          <w:sz w:val="28"/>
          <w:szCs w:val="28"/>
        </w:rPr>
        <w:t>c</w:t>
      </w:r>
      <w:r w:rsidR="00A775F5" w:rsidRPr="0055257C">
        <w:rPr>
          <w:rFonts w:ascii="Arial" w:hAnsi="Arial" w:cs="Arial"/>
          <w:b/>
          <w:bCs/>
          <w:sz w:val="28"/>
          <w:szCs w:val="28"/>
        </w:rPr>
        <w:t>hallenges</w:t>
      </w:r>
    </w:p>
    <w:p w14:paraId="5F9C67B0" w14:textId="79822621" w:rsidR="00CE082B" w:rsidRDefault="004E331E" w:rsidP="00A775F5">
      <w:pPr>
        <w:rPr>
          <w:rFonts w:ascii="Arial" w:hAnsi="Arial" w:cs="Arial"/>
        </w:rPr>
      </w:pPr>
      <w:r>
        <w:rPr>
          <w:rFonts w:ascii="Arial" w:hAnsi="Arial" w:cs="Arial"/>
        </w:rPr>
        <w:t>The</w:t>
      </w:r>
      <w:r w:rsidR="00CE082B">
        <w:rPr>
          <w:rFonts w:ascii="Arial" w:hAnsi="Arial" w:cs="Arial"/>
        </w:rPr>
        <w:t xml:space="preserve"> quarterly PMO updates provide a comprehensive update from all six borough</w:t>
      </w:r>
      <w:r>
        <w:rPr>
          <w:rFonts w:ascii="Arial" w:hAnsi="Arial" w:cs="Arial"/>
        </w:rPr>
        <w:t>s</w:t>
      </w:r>
      <w:r w:rsidR="00CE082B">
        <w:rPr>
          <w:rFonts w:ascii="Arial" w:hAnsi="Arial" w:cs="Arial"/>
        </w:rPr>
        <w:t xml:space="preserve"> and the SEL-wide</w:t>
      </w:r>
      <w:r w:rsidR="005C06D6">
        <w:rPr>
          <w:rFonts w:ascii="Arial" w:hAnsi="Arial" w:cs="Arial"/>
        </w:rPr>
        <w:t xml:space="preserve"> </w:t>
      </w:r>
      <w:r w:rsidR="00CE082B">
        <w:rPr>
          <w:rFonts w:ascii="Arial" w:hAnsi="Arial" w:cs="Arial"/>
        </w:rPr>
        <w:t>workstreams</w:t>
      </w:r>
      <w:r w:rsidR="005C06D6">
        <w:rPr>
          <w:rFonts w:ascii="Arial" w:hAnsi="Arial" w:cs="Arial"/>
        </w:rPr>
        <w:t xml:space="preserve"> that are</w:t>
      </w:r>
      <w:r w:rsidR="00CE082B">
        <w:rPr>
          <w:rFonts w:ascii="Arial" w:hAnsi="Arial" w:cs="Arial"/>
        </w:rPr>
        <w:t xml:space="preserve"> supporting </w:t>
      </w:r>
      <w:r w:rsidR="00FF5E60">
        <w:rPr>
          <w:rFonts w:ascii="Arial" w:hAnsi="Arial" w:cs="Arial"/>
        </w:rPr>
        <w:t>implementation of neighbourhood working.</w:t>
      </w:r>
      <w:r w:rsidR="00CE082B">
        <w:rPr>
          <w:rFonts w:ascii="Arial" w:hAnsi="Arial" w:cs="Arial"/>
        </w:rPr>
        <w:t xml:space="preserve"> </w:t>
      </w:r>
    </w:p>
    <w:p w14:paraId="20C997E7" w14:textId="5BCAA843" w:rsidR="00A775F5" w:rsidRPr="00A775F5" w:rsidRDefault="00511032" w:rsidP="00A775F5">
      <w:pPr>
        <w:rPr>
          <w:rFonts w:ascii="Arial" w:hAnsi="Arial" w:cs="Arial"/>
        </w:rPr>
      </w:pPr>
      <w:r>
        <w:rPr>
          <w:rFonts w:ascii="Arial" w:hAnsi="Arial" w:cs="Arial"/>
        </w:rPr>
        <w:t>Over the last three months – the key themes include</w:t>
      </w:r>
      <w:r w:rsidR="00A775F5" w:rsidRPr="00A775F5">
        <w:rPr>
          <w:rFonts w:ascii="Arial" w:hAnsi="Arial" w:cs="Arial"/>
        </w:rPr>
        <w:t>:</w:t>
      </w:r>
    </w:p>
    <w:p w14:paraId="3EE69B6A" w14:textId="6E513E22" w:rsidR="00A775F5" w:rsidRPr="00A775F5" w:rsidRDefault="00CE082B" w:rsidP="00511032">
      <w:pPr>
        <w:numPr>
          <w:ilvl w:val="0"/>
          <w:numId w:val="10"/>
        </w:numPr>
        <w:rPr>
          <w:rFonts w:ascii="Arial" w:hAnsi="Arial" w:cs="Arial"/>
        </w:rPr>
      </w:pPr>
      <w:r>
        <w:rPr>
          <w:rFonts w:ascii="Arial" w:hAnsi="Arial" w:cs="Arial"/>
        </w:rPr>
        <w:t xml:space="preserve">Integrated neighbourhood </w:t>
      </w:r>
      <w:r w:rsidR="0092296E">
        <w:rPr>
          <w:rFonts w:ascii="Arial" w:hAnsi="Arial" w:cs="Arial"/>
        </w:rPr>
        <w:t>team</w:t>
      </w:r>
      <w:r w:rsidR="00A775F5" w:rsidRPr="00A775F5">
        <w:rPr>
          <w:rFonts w:ascii="Arial" w:hAnsi="Arial" w:cs="Arial"/>
        </w:rPr>
        <w:t xml:space="preserve"> </w:t>
      </w:r>
      <w:r w:rsidR="0033673E">
        <w:rPr>
          <w:rFonts w:ascii="Arial" w:hAnsi="Arial" w:cs="Arial"/>
        </w:rPr>
        <w:t xml:space="preserve">(INT) </w:t>
      </w:r>
      <w:r w:rsidR="00A775F5" w:rsidRPr="00A775F5">
        <w:rPr>
          <w:rFonts w:ascii="Arial" w:hAnsi="Arial" w:cs="Arial"/>
        </w:rPr>
        <w:t>pilots are live or imminent in Bexley, Lewisham, Southwark, and Greenwich.</w:t>
      </w:r>
    </w:p>
    <w:p w14:paraId="2FE4FB77" w14:textId="77777777" w:rsidR="00A775F5" w:rsidRPr="00A775F5" w:rsidRDefault="00A775F5" w:rsidP="00511032">
      <w:pPr>
        <w:numPr>
          <w:ilvl w:val="0"/>
          <w:numId w:val="10"/>
        </w:numPr>
        <w:rPr>
          <w:rFonts w:ascii="Arial" w:hAnsi="Arial" w:cs="Arial"/>
        </w:rPr>
      </w:pPr>
      <w:r w:rsidRPr="00A775F5">
        <w:rPr>
          <w:rFonts w:ascii="Arial" w:hAnsi="Arial" w:cs="Arial"/>
        </w:rPr>
        <w:t>Workforce mobilisation is progressing, with recruitment and training underway.</w:t>
      </w:r>
    </w:p>
    <w:p w14:paraId="6C2279EE" w14:textId="678B695D" w:rsidR="00A775F5" w:rsidRPr="00A775F5" w:rsidRDefault="00A775F5" w:rsidP="00511032">
      <w:pPr>
        <w:numPr>
          <w:ilvl w:val="0"/>
          <w:numId w:val="10"/>
        </w:numPr>
        <w:rPr>
          <w:rFonts w:ascii="Arial" w:hAnsi="Arial" w:cs="Arial"/>
        </w:rPr>
      </w:pPr>
      <w:r w:rsidRPr="00A775F5">
        <w:rPr>
          <w:rFonts w:ascii="Arial" w:hAnsi="Arial" w:cs="Arial"/>
        </w:rPr>
        <w:t xml:space="preserve">Estates mapping is advancing, with hub sites </w:t>
      </w:r>
      <w:r w:rsidR="00373B30">
        <w:rPr>
          <w:rFonts w:ascii="Arial" w:hAnsi="Arial" w:cs="Arial"/>
        </w:rPr>
        <w:t xml:space="preserve">being </w:t>
      </w:r>
      <w:r w:rsidRPr="00A775F5">
        <w:rPr>
          <w:rFonts w:ascii="Arial" w:hAnsi="Arial" w:cs="Arial"/>
        </w:rPr>
        <w:t>identified in most boroughs.</w:t>
      </w:r>
      <w:r w:rsidR="00373B30">
        <w:rPr>
          <w:rFonts w:ascii="Arial" w:hAnsi="Arial" w:cs="Arial"/>
        </w:rPr>
        <w:t xml:space="preserve"> (See item 1)</w:t>
      </w:r>
    </w:p>
    <w:p w14:paraId="09B36B67" w14:textId="40D3CBDA" w:rsidR="00A775F5" w:rsidRPr="00A775F5" w:rsidRDefault="00363648" w:rsidP="00511032">
      <w:pPr>
        <w:numPr>
          <w:ilvl w:val="0"/>
          <w:numId w:val="10"/>
        </w:numPr>
        <w:rPr>
          <w:rFonts w:ascii="Arial" w:hAnsi="Arial" w:cs="Arial"/>
        </w:rPr>
      </w:pPr>
      <w:r w:rsidRPr="009A13DF">
        <w:rPr>
          <w:rFonts w:ascii="Arial" w:hAnsi="Arial" w:cs="Arial"/>
        </w:rPr>
        <w:t>Work continues to improve access to shared care records and enable tools like Ardens and the Universal Care Plan.</w:t>
      </w:r>
    </w:p>
    <w:p w14:paraId="432BF9F4" w14:textId="184049A8" w:rsidR="00A775F5" w:rsidRPr="00A775F5" w:rsidRDefault="00A775F5" w:rsidP="00511032">
      <w:pPr>
        <w:numPr>
          <w:ilvl w:val="0"/>
          <w:numId w:val="10"/>
        </w:numPr>
        <w:rPr>
          <w:rFonts w:ascii="Arial" w:hAnsi="Arial" w:cs="Arial"/>
        </w:rPr>
      </w:pPr>
      <w:r w:rsidRPr="00A775F5">
        <w:rPr>
          <w:rFonts w:ascii="Arial" w:hAnsi="Arial" w:cs="Arial"/>
        </w:rPr>
        <w:t xml:space="preserve">Clinical governance workshops held; </w:t>
      </w:r>
      <w:r w:rsidR="00380C0D">
        <w:rPr>
          <w:rFonts w:ascii="Arial" w:hAnsi="Arial" w:cs="Arial"/>
        </w:rPr>
        <w:t xml:space="preserve">organisational development </w:t>
      </w:r>
      <w:r w:rsidRPr="00A775F5">
        <w:rPr>
          <w:rFonts w:ascii="Arial" w:hAnsi="Arial" w:cs="Arial"/>
        </w:rPr>
        <w:t>support being scoped with integrator hosts.</w:t>
      </w:r>
    </w:p>
    <w:p w14:paraId="0920CD93" w14:textId="07DC5A99" w:rsidR="00A775F5" w:rsidRPr="00A775F5" w:rsidRDefault="0055257C" w:rsidP="00511032">
      <w:pPr>
        <w:numPr>
          <w:ilvl w:val="0"/>
          <w:numId w:val="10"/>
        </w:numPr>
        <w:rPr>
          <w:rFonts w:ascii="Arial" w:hAnsi="Arial" w:cs="Arial"/>
        </w:rPr>
      </w:pPr>
      <w:r w:rsidRPr="0055257C">
        <w:rPr>
          <w:rFonts w:ascii="Arial" w:hAnsi="Arial" w:cs="Arial"/>
        </w:rPr>
        <w:t>A p</w:t>
      </w:r>
      <w:r w:rsidR="00380C0D" w:rsidRPr="0055257C">
        <w:rPr>
          <w:rFonts w:ascii="Arial" w:hAnsi="Arial" w:cs="Arial"/>
        </w:rPr>
        <w:t>opulation health management</w:t>
      </w:r>
      <w:r w:rsidR="00363648" w:rsidRPr="009A13DF">
        <w:rPr>
          <w:rFonts w:ascii="Arial" w:hAnsi="Arial" w:cs="Arial"/>
        </w:rPr>
        <w:t xml:space="preserve"> service specification is being developed </w:t>
      </w:r>
      <w:r w:rsidR="008958EB">
        <w:rPr>
          <w:rFonts w:ascii="Arial" w:hAnsi="Arial" w:cs="Arial"/>
        </w:rPr>
        <w:t>which will include consideration of how to support</w:t>
      </w:r>
      <w:r w:rsidR="00363648" w:rsidRPr="009A13DF">
        <w:rPr>
          <w:rFonts w:ascii="Arial" w:hAnsi="Arial" w:cs="Arial"/>
        </w:rPr>
        <w:t xml:space="preserve"> neighbourhood planning and </w:t>
      </w:r>
      <w:r w:rsidR="008958EB">
        <w:rPr>
          <w:rFonts w:ascii="Arial" w:hAnsi="Arial" w:cs="Arial"/>
        </w:rPr>
        <w:t>delivery</w:t>
      </w:r>
      <w:r w:rsidR="00363648" w:rsidRPr="009A13DF">
        <w:rPr>
          <w:rFonts w:ascii="Arial" w:hAnsi="Arial" w:cs="Arial"/>
        </w:rPr>
        <w:t>.</w:t>
      </w:r>
    </w:p>
    <w:p w14:paraId="263BBA64" w14:textId="3FAED86F" w:rsidR="00756848" w:rsidRPr="00572452" w:rsidRDefault="007D284A" w:rsidP="008A3993">
      <w:pPr>
        <w:numPr>
          <w:ilvl w:val="0"/>
          <w:numId w:val="10"/>
        </w:numPr>
        <w:rPr>
          <w:rFonts w:ascii="Arial" w:hAnsi="Arial" w:cs="Arial"/>
          <w:sz w:val="28"/>
          <w:szCs w:val="28"/>
          <w:highlight w:val="lightGray"/>
        </w:rPr>
      </w:pPr>
      <w:r w:rsidRPr="008A3993">
        <w:rPr>
          <w:rFonts w:ascii="Arial" w:hAnsi="Arial" w:cs="Arial"/>
        </w:rPr>
        <w:t>Local Child Health Teams are being used as a stepping stone to</w:t>
      </w:r>
      <w:r w:rsidR="0055257C" w:rsidRPr="008A3993">
        <w:rPr>
          <w:rFonts w:ascii="Arial" w:hAnsi="Arial" w:cs="Arial"/>
        </w:rPr>
        <w:t xml:space="preserve"> </w:t>
      </w:r>
      <w:proofErr w:type="gramStart"/>
      <w:r w:rsidR="0055257C" w:rsidRPr="008A3993">
        <w:rPr>
          <w:rFonts w:ascii="Arial" w:hAnsi="Arial" w:cs="Arial"/>
        </w:rPr>
        <w:t>developing</w:t>
      </w:r>
      <w:proofErr w:type="gramEnd"/>
      <w:r w:rsidR="0055257C" w:rsidRPr="008A3993">
        <w:rPr>
          <w:rFonts w:ascii="Arial" w:hAnsi="Arial" w:cs="Arial"/>
        </w:rPr>
        <w:t xml:space="preserve"> children and young people</w:t>
      </w:r>
      <w:r w:rsidR="005E421A">
        <w:rPr>
          <w:rFonts w:ascii="Arial" w:hAnsi="Arial" w:cs="Arial"/>
        </w:rPr>
        <w:t xml:space="preserve"> INTs</w:t>
      </w:r>
      <w:r w:rsidRPr="008A3993">
        <w:rPr>
          <w:rFonts w:ascii="Arial" w:hAnsi="Arial" w:cs="Arial"/>
        </w:rPr>
        <w:t>, with engagement and framework development underway.</w:t>
      </w:r>
    </w:p>
    <w:p w14:paraId="5C9201A3" w14:textId="77777777" w:rsidR="00572452" w:rsidRDefault="00572452" w:rsidP="00572452">
      <w:pPr>
        <w:rPr>
          <w:rFonts w:ascii="Arial" w:hAnsi="Arial" w:cs="Arial"/>
        </w:rPr>
      </w:pPr>
    </w:p>
    <w:p w14:paraId="380DA410" w14:textId="77777777" w:rsidR="00572452" w:rsidRPr="008A3993" w:rsidRDefault="00572452" w:rsidP="00572452">
      <w:pPr>
        <w:rPr>
          <w:rFonts w:ascii="Arial" w:hAnsi="Arial" w:cs="Arial"/>
          <w:sz w:val="28"/>
          <w:szCs w:val="28"/>
          <w:highlight w:val="lightGray"/>
        </w:rPr>
      </w:pPr>
    </w:p>
    <w:p w14:paraId="5CD5BC77" w14:textId="3BB78BDC" w:rsidR="005B5351" w:rsidRPr="00B503A9" w:rsidRDefault="00A775F5" w:rsidP="00B503A9">
      <w:pPr>
        <w:pStyle w:val="ListParagraph"/>
        <w:numPr>
          <w:ilvl w:val="0"/>
          <w:numId w:val="15"/>
        </w:numPr>
        <w:rPr>
          <w:rFonts w:ascii="Arial" w:hAnsi="Arial" w:cs="Arial"/>
          <w:sz w:val="28"/>
          <w:szCs w:val="28"/>
        </w:rPr>
      </w:pPr>
      <w:r w:rsidRPr="00B503A9">
        <w:rPr>
          <w:rFonts w:ascii="Arial" w:hAnsi="Arial" w:cs="Arial"/>
          <w:b/>
          <w:bCs/>
          <w:sz w:val="28"/>
          <w:szCs w:val="28"/>
        </w:rPr>
        <w:lastRenderedPageBreak/>
        <w:t xml:space="preserve">Learning </w:t>
      </w:r>
      <w:r w:rsidR="00380C0D" w:rsidRPr="00B503A9">
        <w:rPr>
          <w:rFonts w:ascii="Arial" w:hAnsi="Arial" w:cs="Arial"/>
          <w:b/>
          <w:bCs/>
          <w:sz w:val="28"/>
          <w:szCs w:val="28"/>
        </w:rPr>
        <w:t>s</w:t>
      </w:r>
      <w:r w:rsidRPr="00B503A9">
        <w:rPr>
          <w:rFonts w:ascii="Arial" w:hAnsi="Arial" w:cs="Arial"/>
          <w:b/>
          <w:bCs/>
          <w:sz w:val="28"/>
          <w:szCs w:val="28"/>
        </w:rPr>
        <w:t xml:space="preserve">ystem </w:t>
      </w:r>
      <w:r w:rsidR="00380C0D" w:rsidRPr="00B503A9">
        <w:rPr>
          <w:rFonts w:ascii="Arial" w:hAnsi="Arial" w:cs="Arial"/>
          <w:b/>
          <w:bCs/>
          <w:sz w:val="28"/>
          <w:szCs w:val="28"/>
        </w:rPr>
        <w:t>p</w:t>
      </w:r>
      <w:r w:rsidRPr="00B503A9">
        <w:rPr>
          <w:rFonts w:ascii="Arial" w:hAnsi="Arial" w:cs="Arial"/>
          <w:b/>
          <w:bCs/>
          <w:sz w:val="28"/>
          <w:szCs w:val="28"/>
        </w:rPr>
        <w:t>roposal</w:t>
      </w:r>
      <w:r w:rsidRPr="00B503A9">
        <w:rPr>
          <w:rFonts w:ascii="Arial" w:hAnsi="Arial" w:cs="Arial"/>
          <w:sz w:val="28"/>
          <w:szCs w:val="28"/>
        </w:rPr>
        <w:t xml:space="preserve"> </w:t>
      </w:r>
    </w:p>
    <w:p w14:paraId="4D36EB03" w14:textId="0BEFCCD6" w:rsidR="00EF37B0" w:rsidRPr="00EF37B0" w:rsidRDefault="00EF37B0" w:rsidP="00EF37B0">
      <w:pPr>
        <w:rPr>
          <w:rFonts w:ascii="Arial" w:hAnsi="Arial" w:cs="Arial"/>
        </w:rPr>
      </w:pPr>
      <w:r w:rsidRPr="00EF37B0">
        <w:rPr>
          <w:rFonts w:ascii="Arial" w:hAnsi="Arial" w:cs="Arial"/>
        </w:rPr>
        <w:t>A system-wide learning environment has been approved to support the rollout of INTs</w:t>
      </w:r>
      <w:r w:rsidR="005E421A">
        <w:rPr>
          <w:rFonts w:ascii="Arial" w:hAnsi="Arial" w:cs="Arial"/>
        </w:rPr>
        <w:t xml:space="preserve">. </w:t>
      </w:r>
      <w:r w:rsidRPr="00EF37B0">
        <w:rPr>
          <w:rFonts w:ascii="Arial" w:hAnsi="Arial" w:cs="Arial"/>
        </w:rPr>
        <w:t xml:space="preserve"> Given the radical change they represent to existing ways of working, early implementation will involve experimentation to understand what is and </w:t>
      </w:r>
      <w:r w:rsidR="00E555ED">
        <w:rPr>
          <w:rFonts w:ascii="Arial" w:hAnsi="Arial" w:cs="Arial"/>
        </w:rPr>
        <w:t>what is not</w:t>
      </w:r>
      <w:r w:rsidRPr="00EF37B0">
        <w:rPr>
          <w:rFonts w:ascii="Arial" w:hAnsi="Arial" w:cs="Arial"/>
        </w:rPr>
        <w:t xml:space="preserve"> working, and to explore ways of overcoming challenges. A ‘test and learn’ approach will ensure INTs are delivering impact in the right places, create space for failure, and help </w:t>
      </w:r>
      <w:r w:rsidR="00E555ED">
        <w:rPr>
          <w:rFonts w:ascii="Arial" w:hAnsi="Arial" w:cs="Arial"/>
        </w:rPr>
        <w:t>to</w:t>
      </w:r>
      <w:r w:rsidRPr="00EF37B0">
        <w:rPr>
          <w:rFonts w:ascii="Arial" w:hAnsi="Arial" w:cs="Arial"/>
        </w:rPr>
        <w:t xml:space="preserve"> understand the effects of each new iteration of the model. This will be underpinned by shared principles, mechanisms for capturing insights, and a framework for continuous improvement</w:t>
      </w:r>
      <w:r w:rsidR="00E555ED">
        <w:rPr>
          <w:rFonts w:ascii="Arial" w:hAnsi="Arial" w:cs="Arial"/>
        </w:rPr>
        <w:t xml:space="preserve">, </w:t>
      </w:r>
      <w:r w:rsidRPr="00EF37B0">
        <w:rPr>
          <w:rFonts w:ascii="Arial" w:hAnsi="Arial" w:cs="Arial"/>
        </w:rPr>
        <w:t>co-designed with integrator partnerships and place leads.</w:t>
      </w:r>
    </w:p>
    <w:p w14:paraId="4EE2B8AB" w14:textId="77777777" w:rsidR="00EF37B0" w:rsidRPr="00EF37B0" w:rsidRDefault="00EF37B0" w:rsidP="00EF37B0">
      <w:pPr>
        <w:rPr>
          <w:rFonts w:ascii="Arial" w:hAnsi="Arial" w:cs="Arial"/>
        </w:rPr>
      </w:pPr>
      <w:r w:rsidRPr="00EF37B0">
        <w:rPr>
          <w:rFonts w:ascii="Arial" w:hAnsi="Arial" w:cs="Arial"/>
        </w:rPr>
        <w:t>The learning system will:</w:t>
      </w:r>
    </w:p>
    <w:p w14:paraId="6AD3509C" w14:textId="77777777" w:rsidR="00EF37B0" w:rsidRPr="00EF37B0" w:rsidRDefault="00EF37B0" w:rsidP="00EF37B0">
      <w:pPr>
        <w:numPr>
          <w:ilvl w:val="0"/>
          <w:numId w:val="17"/>
        </w:numPr>
        <w:rPr>
          <w:rFonts w:ascii="Arial" w:hAnsi="Arial" w:cs="Arial"/>
        </w:rPr>
      </w:pPr>
      <w:r w:rsidRPr="00EF37B0">
        <w:rPr>
          <w:rFonts w:ascii="Arial" w:hAnsi="Arial" w:cs="Arial"/>
        </w:rPr>
        <w:t>Enable peer learning across boroughs</w:t>
      </w:r>
    </w:p>
    <w:p w14:paraId="47C85E5E" w14:textId="299B49B2" w:rsidR="00EF37B0" w:rsidRPr="00EF37B0" w:rsidRDefault="00EF37B0" w:rsidP="00EF37B0">
      <w:pPr>
        <w:numPr>
          <w:ilvl w:val="0"/>
          <w:numId w:val="17"/>
        </w:numPr>
        <w:rPr>
          <w:rFonts w:ascii="Arial" w:hAnsi="Arial" w:cs="Arial"/>
        </w:rPr>
      </w:pPr>
      <w:r w:rsidRPr="00EF37B0">
        <w:rPr>
          <w:rFonts w:ascii="Arial" w:hAnsi="Arial" w:cs="Arial"/>
        </w:rPr>
        <w:t xml:space="preserve">Support iterative improvement through </w:t>
      </w:r>
      <w:r w:rsidR="00EA593A">
        <w:rPr>
          <w:rFonts w:ascii="Arial" w:hAnsi="Arial" w:cs="Arial"/>
        </w:rPr>
        <w:t>plan, do, study, act</w:t>
      </w:r>
      <w:r w:rsidRPr="00EF37B0">
        <w:rPr>
          <w:rFonts w:ascii="Arial" w:hAnsi="Arial" w:cs="Arial"/>
        </w:rPr>
        <w:t xml:space="preserve"> cycles</w:t>
      </w:r>
    </w:p>
    <w:p w14:paraId="6CD912FD" w14:textId="77777777" w:rsidR="00EF37B0" w:rsidRPr="00EF37B0" w:rsidRDefault="00EF37B0" w:rsidP="00EF37B0">
      <w:pPr>
        <w:numPr>
          <w:ilvl w:val="0"/>
          <w:numId w:val="17"/>
        </w:numPr>
        <w:rPr>
          <w:rFonts w:ascii="Arial" w:hAnsi="Arial" w:cs="Arial"/>
        </w:rPr>
      </w:pPr>
      <w:r w:rsidRPr="00EF37B0">
        <w:rPr>
          <w:rFonts w:ascii="Arial" w:hAnsi="Arial" w:cs="Arial"/>
        </w:rPr>
        <w:t>Provide real-time feedback to inform decision-making</w:t>
      </w:r>
    </w:p>
    <w:p w14:paraId="5EBA61C1" w14:textId="17B2CA81" w:rsidR="00EF37B0" w:rsidRDefault="007C7450" w:rsidP="00EF37B0">
      <w:pPr>
        <w:rPr>
          <w:rFonts w:ascii="Arial" w:hAnsi="Arial" w:cs="Arial"/>
        </w:rPr>
      </w:pPr>
      <w:r>
        <w:rPr>
          <w:rFonts w:ascii="Arial" w:hAnsi="Arial" w:cs="Arial"/>
        </w:rPr>
        <w:t>Whilst</w:t>
      </w:r>
      <w:r w:rsidR="00EF37B0" w:rsidRPr="00EF37B0">
        <w:rPr>
          <w:rFonts w:ascii="Arial" w:hAnsi="Arial" w:cs="Arial"/>
        </w:rPr>
        <w:t xml:space="preserve"> the initial focus is on INTs, the learning system may expand over time to support other elements of the neighbourhood health service. The approach will help us understand what works, for whom, and in what context, supporting the scaling of effective neighbourhood working across </w:t>
      </w:r>
      <w:r w:rsidR="00E555ED">
        <w:rPr>
          <w:rFonts w:ascii="Arial" w:hAnsi="Arial" w:cs="Arial"/>
        </w:rPr>
        <w:t>south east London</w:t>
      </w:r>
      <w:r w:rsidR="00EF37B0" w:rsidRPr="00EF37B0">
        <w:rPr>
          <w:rFonts w:ascii="Arial" w:hAnsi="Arial" w:cs="Arial"/>
        </w:rPr>
        <w:t>.</w:t>
      </w:r>
    </w:p>
    <w:p w14:paraId="0F96354D" w14:textId="269B6CD0" w:rsidR="008958EB" w:rsidRPr="00EF37B0" w:rsidRDefault="008958EB" w:rsidP="00EF37B0">
      <w:pPr>
        <w:rPr>
          <w:rFonts w:ascii="Arial" w:hAnsi="Arial" w:cs="Arial"/>
        </w:rPr>
      </w:pPr>
      <w:r>
        <w:rPr>
          <w:rFonts w:ascii="Arial" w:hAnsi="Arial" w:cs="Arial"/>
        </w:rPr>
        <w:t>A workshop will be held with integrator partnerships across our 6 places to consider how best to take this work forward collectively.</w:t>
      </w:r>
    </w:p>
    <w:p w14:paraId="60BDDECC" w14:textId="7FB25FB9" w:rsidR="009A13DF" w:rsidRPr="009A13DF" w:rsidRDefault="009A13DF" w:rsidP="009A13DF">
      <w:pPr>
        <w:rPr>
          <w:rFonts w:ascii="Arial" w:hAnsi="Arial" w:cs="Arial"/>
          <w:b/>
          <w:bCs/>
        </w:rPr>
      </w:pPr>
    </w:p>
    <w:sectPr w:rsidR="009A13DF" w:rsidRPr="009A1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33FA"/>
    <w:multiLevelType w:val="multilevel"/>
    <w:tmpl w:val="612E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E6992"/>
    <w:multiLevelType w:val="multilevel"/>
    <w:tmpl w:val="81F0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23883"/>
    <w:multiLevelType w:val="multilevel"/>
    <w:tmpl w:val="5A96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96086"/>
    <w:multiLevelType w:val="multilevel"/>
    <w:tmpl w:val="8C46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12F59"/>
    <w:multiLevelType w:val="multilevel"/>
    <w:tmpl w:val="5088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2A5191"/>
    <w:multiLevelType w:val="multilevel"/>
    <w:tmpl w:val="D34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52E74"/>
    <w:multiLevelType w:val="multilevel"/>
    <w:tmpl w:val="9BE2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5797A"/>
    <w:multiLevelType w:val="multilevel"/>
    <w:tmpl w:val="0E5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077F1"/>
    <w:multiLevelType w:val="hybridMultilevel"/>
    <w:tmpl w:val="61D20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906694"/>
    <w:multiLevelType w:val="multilevel"/>
    <w:tmpl w:val="080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D2C43"/>
    <w:multiLevelType w:val="multilevel"/>
    <w:tmpl w:val="A384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12FAD"/>
    <w:multiLevelType w:val="hybridMultilevel"/>
    <w:tmpl w:val="27FC58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BE45CB3"/>
    <w:multiLevelType w:val="multilevel"/>
    <w:tmpl w:val="FF70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65A71"/>
    <w:multiLevelType w:val="multilevel"/>
    <w:tmpl w:val="E51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F6D11"/>
    <w:multiLevelType w:val="hybridMultilevel"/>
    <w:tmpl w:val="F662C9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3E0C81"/>
    <w:multiLevelType w:val="multilevel"/>
    <w:tmpl w:val="C2D0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C3BE5"/>
    <w:multiLevelType w:val="multilevel"/>
    <w:tmpl w:val="0660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4C4FC4"/>
    <w:multiLevelType w:val="multilevel"/>
    <w:tmpl w:val="D46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376812">
    <w:abstractNumId w:val="3"/>
  </w:num>
  <w:num w:numId="2" w16cid:durableId="1033191585">
    <w:abstractNumId w:val="5"/>
  </w:num>
  <w:num w:numId="3" w16cid:durableId="453866856">
    <w:abstractNumId w:val="2"/>
  </w:num>
  <w:num w:numId="4" w16cid:durableId="62878807">
    <w:abstractNumId w:val="15"/>
  </w:num>
  <w:num w:numId="5" w16cid:durableId="290526888">
    <w:abstractNumId w:val="13"/>
  </w:num>
  <w:num w:numId="6" w16cid:durableId="893615816">
    <w:abstractNumId w:val="7"/>
  </w:num>
  <w:num w:numId="7" w16cid:durableId="1655186590">
    <w:abstractNumId w:val="0"/>
  </w:num>
  <w:num w:numId="8" w16cid:durableId="679505672">
    <w:abstractNumId w:val="17"/>
  </w:num>
  <w:num w:numId="9" w16cid:durableId="2055812573">
    <w:abstractNumId w:val="9"/>
  </w:num>
  <w:num w:numId="10" w16cid:durableId="935022219">
    <w:abstractNumId w:val="1"/>
  </w:num>
  <w:num w:numId="11" w16cid:durableId="1376927882">
    <w:abstractNumId w:val="12"/>
  </w:num>
  <w:num w:numId="12" w16cid:durableId="294214525">
    <w:abstractNumId w:val="4"/>
  </w:num>
  <w:num w:numId="13" w16cid:durableId="996759951">
    <w:abstractNumId w:val="11"/>
  </w:num>
  <w:num w:numId="14" w16cid:durableId="1685669244">
    <w:abstractNumId w:val="8"/>
  </w:num>
  <w:num w:numId="15" w16cid:durableId="971137707">
    <w:abstractNumId w:val="14"/>
  </w:num>
  <w:num w:numId="16" w16cid:durableId="2013022431">
    <w:abstractNumId w:val="10"/>
  </w:num>
  <w:num w:numId="17" w16cid:durableId="553467636">
    <w:abstractNumId w:val="6"/>
  </w:num>
  <w:num w:numId="18" w16cid:durableId="451942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DF"/>
    <w:rsid w:val="00057EA7"/>
    <w:rsid w:val="000D7073"/>
    <w:rsid w:val="000E4F2E"/>
    <w:rsid w:val="00105C4E"/>
    <w:rsid w:val="00160B8F"/>
    <w:rsid w:val="00171545"/>
    <w:rsid w:val="00173276"/>
    <w:rsid w:val="00184C3E"/>
    <w:rsid w:val="001E5E07"/>
    <w:rsid w:val="002748E0"/>
    <w:rsid w:val="002A3D9A"/>
    <w:rsid w:val="002B3BB5"/>
    <w:rsid w:val="002E1568"/>
    <w:rsid w:val="002F285B"/>
    <w:rsid w:val="0033673E"/>
    <w:rsid w:val="00363648"/>
    <w:rsid w:val="00370BD5"/>
    <w:rsid w:val="00373B30"/>
    <w:rsid w:val="00380C0D"/>
    <w:rsid w:val="003C3386"/>
    <w:rsid w:val="003F11A6"/>
    <w:rsid w:val="00444297"/>
    <w:rsid w:val="004448EC"/>
    <w:rsid w:val="0047197B"/>
    <w:rsid w:val="004C6B87"/>
    <w:rsid w:val="004E331E"/>
    <w:rsid w:val="00511032"/>
    <w:rsid w:val="00520A70"/>
    <w:rsid w:val="005438DC"/>
    <w:rsid w:val="0055257C"/>
    <w:rsid w:val="0056414C"/>
    <w:rsid w:val="00572452"/>
    <w:rsid w:val="0059344F"/>
    <w:rsid w:val="005B5351"/>
    <w:rsid w:val="005C06D6"/>
    <w:rsid w:val="005E421A"/>
    <w:rsid w:val="00694793"/>
    <w:rsid w:val="00697909"/>
    <w:rsid w:val="006B0A79"/>
    <w:rsid w:val="006E1BFB"/>
    <w:rsid w:val="006E7AE7"/>
    <w:rsid w:val="00756848"/>
    <w:rsid w:val="00793B6D"/>
    <w:rsid w:val="007C0738"/>
    <w:rsid w:val="007C7450"/>
    <w:rsid w:val="007D284A"/>
    <w:rsid w:val="00804DBA"/>
    <w:rsid w:val="00811E97"/>
    <w:rsid w:val="00871791"/>
    <w:rsid w:val="00877178"/>
    <w:rsid w:val="008958EB"/>
    <w:rsid w:val="008A3993"/>
    <w:rsid w:val="008B0344"/>
    <w:rsid w:val="00907453"/>
    <w:rsid w:val="0092296E"/>
    <w:rsid w:val="009234A7"/>
    <w:rsid w:val="00937DD3"/>
    <w:rsid w:val="00954A61"/>
    <w:rsid w:val="009733A7"/>
    <w:rsid w:val="00995E00"/>
    <w:rsid w:val="009A13DF"/>
    <w:rsid w:val="009F2A6E"/>
    <w:rsid w:val="00A0362A"/>
    <w:rsid w:val="00A11DAD"/>
    <w:rsid w:val="00A775F5"/>
    <w:rsid w:val="00AB0AA4"/>
    <w:rsid w:val="00AB0CB8"/>
    <w:rsid w:val="00AE6826"/>
    <w:rsid w:val="00B037A6"/>
    <w:rsid w:val="00B503A9"/>
    <w:rsid w:val="00B50A82"/>
    <w:rsid w:val="00B96365"/>
    <w:rsid w:val="00BB00B3"/>
    <w:rsid w:val="00C02796"/>
    <w:rsid w:val="00C75F9F"/>
    <w:rsid w:val="00C76C3E"/>
    <w:rsid w:val="00C86D67"/>
    <w:rsid w:val="00CA1E99"/>
    <w:rsid w:val="00CD2BB2"/>
    <w:rsid w:val="00CE082B"/>
    <w:rsid w:val="00CE4836"/>
    <w:rsid w:val="00D179F4"/>
    <w:rsid w:val="00D53FC6"/>
    <w:rsid w:val="00D57895"/>
    <w:rsid w:val="00DA7B06"/>
    <w:rsid w:val="00DD58D6"/>
    <w:rsid w:val="00E17A10"/>
    <w:rsid w:val="00E30029"/>
    <w:rsid w:val="00E5340E"/>
    <w:rsid w:val="00E555ED"/>
    <w:rsid w:val="00E8243A"/>
    <w:rsid w:val="00E857CD"/>
    <w:rsid w:val="00E932A5"/>
    <w:rsid w:val="00EA593A"/>
    <w:rsid w:val="00ED312C"/>
    <w:rsid w:val="00EE6C4E"/>
    <w:rsid w:val="00EF37B0"/>
    <w:rsid w:val="00F17995"/>
    <w:rsid w:val="00F21BD0"/>
    <w:rsid w:val="00F3340D"/>
    <w:rsid w:val="00FB4E8F"/>
    <w:rsid w:val="00FB6303"/>
    <w:rsid w:val="00FE15D2"/>
    <w:rsid w:val="00FF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FCBF"/>
  <w15:chartTrackingRefBased/>
  <w15:docId w15:val="{75BB1315-DCE1-4670-BFCB-BAC1FDAD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3DF"/>
    <w:rPr>
      <w:rFonts w:eastAsiaTheme="majorEastAsia" w:cstheme="majorBidi"/>
      <w:color w:val="272727" w:themeColor="text1" w:themeTint="D8"/>
    </w:rPr>
  </w:style>
  <w:style w:type="paragraph" w:styleId="Title">
    <w:name w:val="Title"/>
    <w:basedOn w:val="Normal"/>
    <w:next w:val="Normal"/>
    <w:link w:val="TitleChar"/>
    <w:uiPriority w:val="10"/>
    <w:qFormat/>
    <w:rsid w:val="009A1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3DF"/>
    <w:pPr>
      <w:spacing w:before="160"/>
      <w:jc w:val="center"/>
    </w:pPr>
    <w:rPr>
      <w:i/>
      <w:iCs/>
      <w:color w:val="404040" w:themeColor="text1" w:themeTint="BF"/>
    </w:rPr>
  </w:style>
  <w:style w:type="character" w:customStyle="1" w:styleId="QuoteChar">
    <w:name w:val="Quote Char"/>
    <w:basedOn w:val="DefaultParagraphFont"/>
    <w:link w:val="Quote"/>
    <w:uiPriority w:val="29"/>
    <w:rsid w:val="009A13DF"/>
    <w:rPr>
      <w:i/>
      <w:iCs/>
      <w:color w:val="404040" w:themeColor="text1" w:themeTint="BF"/>
    </w:rPr>
  </w:style>
  <w:style w:type="paragraph" w:styleId="ListParagraph">
    <w:name w:val="List Paragraph"/>
    <w:basedOn w:val="Normal"/>
    <w:uiPriority w:val="34"/>
    <w:qFormat/>
    <w:rsid w:val="009A13DF"/>
    <w:pPr>
      <w:ind w:left="720"/>
      <w:contextualSpacing/>
    </w:pPr>
  </w:style>
  <w:style w:type="character" w:styleId="IntenseEmphasis">
    <w:name w:val="Intense Emphasis"/>
    <w:basedOn w:val="DefaultParagraphFont"/>
    <w:uiPriority w:val="21"/>
    <w:qFormat/>
    <w:rsid w:val="009A13DF"/>
    <w:rPr>
      <w:i/>
      <w:iCs/>
      <w:color w:val="0F4761" w:themeColor="accent1" w:themeShade="BF"/>
    </w:rPr>
  </w:style>
  <w:style w:type="paragraph" w:styleId="IntenseQuote">
    <w:name w:val="Intense Quote"/>
    <w:basedOn w:val="Normal"/>
    <w:next w:val="Normal"/>
    <w:link w:val="IntenseQuoteChar"/>
    <w:uiPriority w:val="30"/>
    <w:qFormat/>
    <w:rsid w:val="009A1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3DF"/>
    <w:rPr>
      <w:i/>
      <w:iCs/>
      <w:color w:val="0F4761" w:themeColor="accent1" w:themeShade="BF"/>
    </w:rPr>
  </w:style>
  <w:style w:type="character" w:styleId="IntenseReference">
    <w:name w:val="Intense Reference"/>
    <w:basedOn w:val="DefaultParagraphFont"/>
    <w:uiPriority w:val="32"/>
    <w:qFormat/>
    <w:rsid w:val="009A13DF"/>
    <w:rPr>
      <w:b/>
      <w:bCs/>
      <w:smallCaps/>
      <w:color w:val="0F4761" w:themeColor="accent1" w:themeShade="BF"/>
      <w:spacing w:val="5"/>
    </w:rPr>
  </w:style>
  <w:style w:type="paragraph" w:styleId="Revision">
    <w:name w:val="Revision"/>
    <w:hidden/>
    <w:uiPriority w:val="99"/>
    <w:semiHidden/>
    <w:rsid w:val="00895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cfacb14fd02ea0d64b2ac0d990002f7e">
  <xsd:schema xmlns:xsd="http://www.w3.org/2001/XMLSchema" xmlns:xs="http://www.w3.org/2001/XMLSchema" xmlns:p="http://schemas.microsoft.com/office/2006/metadata/properties" targetNamespace="http://schemas.microsoft.com/office/2006/metadata/properties" ma:root="true" ma:fieldsID="6b14f266cad7f60f7d2d20c9a94518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CB825-374F-4D94-BEFB-1A1336D74ECB}">
  <ds:schemaRefs>
    <ds:schemaRef ds:uri="http://schemas.microsoft.com/sharepoint/v3/contenttype/forms"/>
  </ds:schemaRefs>
</ds:datastoreItem>
</file>

<file path=customXml/itemProps2.xml><?xml version="1.0" encoding="utf-8"?>
<ds:datastoreItem xmlns:ds="http://schemas.openxmlformats.org/officeDocument/2006/customXml" ds:itemID="{E397C1F8-3A1C-4B62-885C-4CD7D5E0A3A8}">
  <ds:schemaRefs>
    <ds:schemaRef ds:uri="Microsoft.SharePoint.Taxonomy.ContentTypeSync"/>
  </ds:schemaRefs>
</ds:datastoreItem>
</file>

<file path=customXml/itemProps3.xml><?xml version="1.0" encoding="utf-8"?>
<ds:datastoreItem xmlns:ds="http://schemas.openxmlformats.org/officeDocument/2006/customXml" ds:itemID="{5A15042A-D486-4703-A84F-BD47B9749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790504-D02A-4338-B6F7-84F2CDE8D3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766</Words>
  <Characters>4491</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Scanlon (NHS South East London ICB)</dc:creator>
  <cp:keywords/>
  <dc:description/>
  <cp:lastModifiedBy>Kelly Scanlon (NHS South East London ICB)</cp:lastModifiedBy>
  <cp:revision>10</cp:revision>
  <dcterms:created xsi:type="dcterms:W3CDTF">2025-10-29T09:59:00Z</dcterms:created>
  <dcterms:modified xsi:type="dcterms:W3CDTF">2025-10-29T12:21:00Z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0x0101009CEB1DA2CC907747900298E7F35D742E008D84F8F0A37BD84B839648B375A60A9F</vt:lpwstr>
  </property>
</Properties>
</file>